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CBB43">
      <w:pPr>
        <w:spacing w:after="360"/>
        <w:jc w:val="center"/>
      </w:pPr>
      <w:bookmarkStart w:id="0" w:name="_GoBack"/>
      <w:bookmarkEnd w:id="0"/>
      <w:r>
        <w:rPr>
          <w:rFonts w:hint="eastAsia" w:ascii="黑体" w:hAnsi="黑体" w:eastAsia="黑体"/>
          <w:b/>
          <w:sz w:val="36"/>
        </w:rPr>
        <w:t>《社区居家适老智能化改造指南》</w:t>
      </w:r>
      <w:r>
        <w:rPr>
          <w:rFonts w:ascii="黑体" w:hAnsi="黑体" w:eastAsia="黑体"/>
          <w:b/>
          <w:sz w:val="36"/>
        </w:rPr>
        <w:br w:type="textWrapping"/>
      </w:r>
      <w:r>
        <w:rPr>
          <w:rFonts w:hint="eastAsia" w:ascii="黑体" w:hAnsi="黑体" w:eastAsia="黑体"/>
          <w:b/>
          <w:sz w:val="36"/>
        </w:rPr>
        <w:t>团体标准编制说明</w:t>
      </w:r>
    </w:p>
    <w:p w14:paraId="1A91D4A4">
      <w:pPr>
        <w:numPr>
          <w:ilvl w:val="0"/>
          <w:numId w:val="7"/>
        </w:numPr>
        <w:spacing w:before="240" w:after="120"/>
        <w:rPr>
          <w:rFonts w:hint="eastAsia" w:ascii="黑体" w:hAnsi="黑体" w:eastAsia="黑体"/>
          <w:b/>
          <w:sz w:val="28"/>
        </w:rPr>
      </w:pPr>
      <w:r>
        <w:rPr>
          <w:rFonts w:hint="eastAsia" w:ascii="黑体" w:hAnsi="黑体" w:eastAsia="黑体"/>
          <w:b/>
          <w:sz w:val="28"/>
        </w:rPr>
        <w:t>任务来源</w:t>
      </w:r>
    </w:p>
    <w:p w14:paraId="69F09F47">
      <w:pPr>
        <w:spacing w:after="60" w:line="360" w:lineRule="auto"/>
        <w:ind w:firstLine="480"/>
        <w:rPr>
          <w:rFonts w:hint="eastAsia" w:ascii="宋体" w:hAnsi="宋体" w:eastAsia="宋体"/>
          <w:sz w:val="24"/>
        </w:rPr>
      </w:pPr>
      <w:r>
        <w:rPr>
          <w:rFonts w:hint="eastAsia" w:ascii="宋体" w:hAnsi="宋体" w:eastAsia="宋体"/>
          <w:sz w:val="24"/>
        </w:rPr>
        <w:t>本文件由北京劳动保障职业学院提出，项目名称为《社区居家适老智能化改造指南》。项目由</w:t>
      </w:r>
      <w:r>
        <w:rPr>
          <w:rFonts w:hint="eastAsia" w:ascii="宋体" w:hAnsi="宋体" w:eastAsia="宋体"/>
          <w:sz w:val="24"/>
          <w:lang w:val="en-US" w:eastAsia="zh-CN"/>
        </w:rPr>
        <w:t>北京标准化协会</w:t>
      </w:r>
      <w:r>
        <w:rPr>
          <w:rFonts w:hint="eastAsia" w:ascii="宋体" w:hAnsi="宋体" w:eastAsia="宋体"/>
          <w:sz w:val="24"/>
        </w:rPr>
        <w:t>归口。</w:t>
      </w:r>
    </w:p>
    <w:p w14:paraId="6BAD4240">
      <w:pPr>
        <w:spacing w:after="60" w:line="360" w:lineRule="auto"/>
        <w:ind w:firstLine="480"/>
        <w:rPr>
          <w:rFonts w:hint="eastAsia" w:ascii="宋体" w:hAnsi="宋体" w:eastAsia="宋体"/>
          <w:sz w:val="24"/>
        </w:rPr>
      </w:pPr>
      <w:r>
        <w:rPr>
          <w:rFonts w:hint="eastAsia" w:ascii="宋体" w:hAnsi="宋体" w:eastAsia="宋体"/>
          <w:sz w:val="24"/>
        </w:rPr>
        <w:t>本标准主要起草单位有：北京劳动保障职业学院、广东永爱医养产业有限公司。</w:t>
      </w:r>
    </w:p>
    <w:p w14:paraId="56C9DFF7">
      <w:pPr>
        <w:spacing w:before="240" w:after="120"/>
      </w:pPr>
      <w:r>
        <w:rPr>
          <w:rFonts w:hint="eastAsia" w:ascii="黑体" w:hAnsi="黑体" w:eastAsia="黑体"/>
          <w:b/>
          <w:sz w:val="28"/>
        </w:rPr>
        <w:t>二、制定标准的必要性和意义</w:t>
      </w:r>
    </w:p>
    <w:p w14:paraId="19467621">
      <w:pPr>
        <w:spacing w:before="120" w:after="60"/>
      </w:pPr>
      <w:r>
        <w:rPr>
          <w:rFonts w:hint="eastAsia" w:ascii="黑体" w:hAnsi="黑体" w:eastAsia="黑体"/>
          <w:b/>
          <w:sz w:val="24"/>
        </w:rPr>
        <w:t>（一）政策依据</w:t>
      </w:r>
    </w:p>
    <w:p w14:paraId="020DB7F9">
      <w:pPr>
        <w:spacing w:after="60" w:line="360" w:lineRule="auto"/>
        <w:ind w:firstLine="480"/>
      </w:pPr>
      <w:r>
        <w:rPr>
          <w:rFonts w:hint="eastAsia" w:ascii="宋体" w:hAnsi="宋体" w:eastAsia="宋体"/>
          <w:sz w:val="24"/>
        </w:rPr>
        <w:t>1. 《国务院关于印发"十四五"国家老龄事业发展和养老服务体系规划的通知》（国发〔2021〕35号）明确提出"支持社区养老设施建设""推进适老化改造""支持智能养老设备研发"等要求。</w:t>
      </w:r>
    </w:p>
    <w:p w14:paraId="3486B2C4">
      <w:pPr>
        <w:spacing w:after="60" w:line="360" w:lineRule="auto"/>
        <w:ind w:firstLine="480"/>
      </w:pPr>
      <w:r>
        <w:rPr>
          <w:rFonts w:hint="eastAsia" w:ascii="宋体" w:hAnsi="宋体" w:eastAsia="宋体"/>
          <w:sz w:val="24"/>
        </w:rPr>
        <w:t>2. 《国务院办公厅关于发展银发经济增进老年人福祉的意见》（国办发〔2024〕1号）提出"推进居家适老化改造""发展智慧养老"等重点任务，明确鼓励运用智能技术提升养老服务水平。</w:t>
      </w:r>
    </w:p>
    <w:p w14:paraId="7982E84A">
      <w:pPr>
        <w:spacing w:after="60" w:line="360" w:lineRule="auto"/>
        <w:ind w:firstLine="480"/>
      </w:pPr>
      <w:r>
        <w:rPr>
          <w:rFonts w:hint="eastAsia" w:ascii="宋体" w:hAnsi="宋体" w:eastAsia="宋体"/>
          <w:sz w:val="24"/>
        </w:rPr>
        <w:t>3. 民政部等部门关于推进适老化改造的指导意见中，明确要求各地加快推进居家和社区适老化改造工作，提升老年人居家生活品质。</w:t>
      </w:r>
    </w:p>
    <w:p w14:paraId="3DE40894">
      <w:pPr>
        <w:spacing w:after="60" w:line="360" w:lineRule="auto"/>
        <w:ind w:firstLine="480"/>
        <w:rPr>
          <w:rFonts w:hint="eastAsia" w:ascii="宋体" w:hAnsi="宋体" w:eastAsia="宋体"/>
          <w:sz w:val="24"/>
        </w:rPr>
      </w:pPr>
      <w:r>
        <w:rPr>
          <w:rFonts w:hint="eastAsia" w:ascii="宋体" w:hAnsi="宋体" w:eastAsia="宋体"/>
          <w:sz w:val="24"/>
        </w:rPr>
        <w:t>4. 国务院办公厅《关于切实解决老年人运用智能技术困难的实施方案》（国办发〔2020〕45号）提出推进适老化改造和智能化服务并行发展。</w:t>
      </w:r>
    </w:p>
    <w:p w14:paraId="768D0BDA">
      <w:pPr>
        <w:spacing w:after="60" w:line="360" w:lineRule="auto"/>
        <w:ind w:firstLine="480"/>
        <w:rPr>
          <w:rFonts w:ascii="宋体" w:hAnsi="宋体" w:eastAsia="宋体"/>
          <w:sz w:val="24"/>
          <w:szCs w:val="24"/>
        </w:rPr>
      </w:pPr>
      <w:r>
        <w:rPr>
          <w:rFonts w:ascii="宋体" w:hAnsi="宋体" w:eastAsia="宋体"/>
          <w:sz w:val="24"/>
          <w:szCs w:val="24"/>
        </w:rPr>
        <w:t>5. 北京市老龄工作委员会《北京市"十四五"时期老龄事业发展规划》提出"加快发展智慧养老"，要求扩大适老化智能终端产品供给，积极推广健康管理类可穿戴设备、便携式健康监测设备、智能养老监护设备、家庭服务机器人等，推动"智慧养老院"和智能化养老社区建设。</w:t>
      </w:r>
    </w:p>
    <w:p w14:paraId="41ED10C8">
      <w:pPr>
        <w:spacing w:after="60" w:line="360" w:lineRule="auto"/>
        <w:ind w:firstLine="480"/>
      </w:pPr>
      <w:r>
        <w:rPr>
          <w:rFonts w:ascii="宋体" w:hAnsi="宋体" w:eastAsia="宋体"/>
          <w:sz w:val="24"/>
          <w:szCs w:val="24"/>
        </w:rPr>
        <w:t>6. 北京市委《关于加强"老老人"服务保障的若干措施》（2024年9月印发）聚焦80岁以上高龄老年人（"老老人"）的吃饭、照护、医疗等刚性需求，要求提升居家安全，实施居家适老化改造，推广应用智慧照护系统。</w:t>
      </w:r>
    </w:p>
    <w:p w14:paraId="2894BCEB">
      <w:pPr>
        <w:spacing w:after="60" w:line="360" w:lineRule="auto"/>
        <w:ind w:firstLine="480"/>
      </w:pPr>
      <w:r>
        <w:rPr>
          <w:rFonts w:ascii="宋体" w:hAnsi="宋体" w:eastAsia="宋体"/>
          <w:sz w:val="24"/>
          <w:szCs w:val="24"/>
        </w:rPr>
        <w:t>7. 北京市发展改革委《关于加强设计服务推动居家适老化改造和产业发展的实施方案（试行）》（2024年）提出支持养老服务企业使用创新型、智能型适老化产品和设备拓展养老服务场景，推动制定居家环境适老化改造评估规范、设计规范和流程管理规范等团体标准，为适老化改造设计提供规范指引。</w:t>
      </w:r>
    </w:p>
    <w:p w14:paraId="54DBD5F5">
      <w:pPr>
        <w:spacing w:after="60" w:line="360" w:lineRule="auto"/>
        <w:ind w:firstLine="480"/>
      </w:pPr>
      <w:r>
        <w:rPr>
          <w:rFonts w:ascii="宋体" w:hAnsi="宋体" w:eastAsia="宋体"/>
          <w:sz w:val="24"/>
          <w:szCs w:val="24"/>
        </w:rPr>
        <w:t>8. 北京市民政局等部门《北京市促进居家适老化改造产品消费工作方案》（2024年）围绕"如厕洗澡安全、室内行走便利、居家环境改善、智能监测跟进、辅助器具适配"五个方面，为户籍老年人家庭提供适老化改造补贴，明确将"智能监测跟进"纳入重点改造方向。</w:t>
      </w:r>
    </w:p>
    <w:p w14:paraId="2FC16D97">
      <w:pPr>
        <w:spacing w:after="60" w:line="360" w:lineRule="auto"/>
        <w:ind w:firstLine="480"/>
        <w:rPr>
          <w:rFonts w:hint="eastAsia" w:ascii="宋体" w:hAnsi="宋体" w:eastAsia="宋体"/>
          <w:sz w:val="24"/>
          <w:szCs w:val="24"/>
        </w:rPr>
      </w:pPr>
      <w:r>
        <w:rPr>
          <w:rFonts w:ascii="宋体" w:hAnsi="宋体" w:eastAsia="宋体"/>
          <w:sz w:val="24"/>
          <w:szCs w:val="24"/>
        </w:rPr>
        <w:t>9. 北京市民政局《关于进一步推进老年人居家适老化改造工程的实施意见》（2023年）建立居家适老化改造项目推荐清单制度，搭建全市统一的适老化改造服务平台，推进适老化改造工作规范化发展。</w:t>
      </w:r>
    </w:p>
    <w:p w14:paraId="3047C5E8">
      <w:pPr>
        <w:spacing w:before="120" w:after="60"/>
      </w:pPr>
      <w:r>
        <w:rPr>
          <w:rFonts w:hint="eastAsia" w:ascii="黑体" w:hAnsi="黑体" w:eastAsia="黑体"/>
          <w:b/>
          <w:sz w:val="24"/>
        </w:rPr>
        <w:t>（二）应用背景</w:t>
      </w:r>
    </w:p>
    <w:p w14:paraId="1D788D35">
      <w:pPr>
        <w:spacing w:after="60" w:line="360" w:lineRule="auto"/>
        <w:ind w:firstLine="480"/>
      </w:pPr>
      <w:r>
        <w:rPr>
          <w:rFonts w:hint="eastAsia" w:ascii="宋体" w:hAnsi="宋体" w:eastAsia="宋体"/>
          <w:sz w:val="24"/>
        </w:rPr>
        <w:t>截至2025年末，我国60岁及以上老年人口达3.23亿人，占全国总人口的23%，其中65岁及以上人口达2.24亿人，占15.9%，人口老龄化程度持续加深。根据国家卫健委数据，我国老年人中约90%选择居家养老，7%选择社区养老，3%选择机构养老，居家社区养老是绝大多数老年人的首选。就北京市而言，截至2025年底，北京市60岁及以上常住人口已达528.8万人，占常住人口的24.3%，北京已从轻度老龄化迈入中度老龄化阶段，预计到2035年老年人口将接近700万，老龄化水平将超过30%。</w:t>
      </w:r>
    </w:p>
    <w:p w14:paraId="015CD7C5">
      <w:pPr>
        <w:spacing w:after="60" w:line="360" w:lineRule="auto"/>
        <w:ind w:firstLine="480"/>
      </w:pPr>
      <w:r>
        <w:rPr>
          <w:rFonts w:hint="eastAsia" w:ascii="宋体" w:hAnsi="宋体" w:eastAsia="宋体"/>
          <w:sz w:val="24"/>
        </w:rPr>
        <w:t>随着老年人身体机能衰退，居家环境中的安全隐患日益突出——跌倒、火灾、燃气泄漏等安全事故频发。据中国疾病预防控制中心数据，跌倒已成为我国65岁以上老年人伤害死亡的首位原因，每年约有4000万老年人至少发生一次跌倒。同时，独居和空巢老年人数量持续增长，对远程照护和健康监测的需求日益迫切。北京市高度重视老年人居家安全问题，截至目前已完成6.2万户家庭适老化改造，在全市养老机构部署1.4万台智慧照护终端，但社区居家层面的智能化改造覆盖面仍显不足，亟需系统性的改造指南加以规范和引导。</w:t>
      </w:r>
    </w:p>
    <w:p w14:paraId="4E5BE9FC">
      <w:pPr>
        <w:spacing w:after="60" w:line="360" w:lineRule="auto"/>
        <w:ind w:firstLine="480"/>
      </w:pPr>
      <w:r>
        <w:rPr>
          <w:rFonts w:hint="eastAsia" w:ascii="宋体" w:hAnsi="宋体" w:eastAsia="宋体"/>
          <w:sz w:val="24"/>
        </w:rPr>
        <w:t>近年来，物联网、人工智能、大数据等智能化技术快速发展，智能门锁、智能传感器、智能可穿戴设备、智能语音助手等产品日趋成熟，为解决老年人居家安全和照护问题提供了新的技术手段。然而，目前适老化改造领域存在智能化程度低、产品选型缺乏指导、改造标准缺失等问题，亟需制定专门的指南性标准加以规范和引导。</w:t>
      </w:r>
    </w:p>
    <w:p w14:paraId="039F8C80">
      <w:pPr>
        <w:spacing w:before="120" w:after="60"/>
      </w:pPr>
      <w:r>
        <w:rPr>
          <w:rFonts w:hint="eastAsia" w:ascii="黑体" w:hAnsi="黑体" w:eastAsia="黑体"/>
          <w:b/>
          <w:sz w:val="24"/>
        </w:rPr>
        <w:t>（三）现有标准存在的问题</w:t>
      </w:r>
    </w:p>
    <w:p w14:paraId="006E1ECD">
      <w:pPr>
        <w:spacing w:after="60" w:line="360" w:lineRule="auto"/>
        <w:ind w:firstLine="480"/>
      </w:pPr>
      <w:r>
        <w:rPr>
          <w:rFonts w:hint="eastAsia" w:ascii="宋体" w:hAnsi="宋体" w:eastAsia="宋体"/>
          <w:sz w:val="24"/>
        </w:rPr>
        <w:t>目前，我国已发布多项适老化改造相关标准，包括民政行业标准MZ/T 217—2024《老年人居家环境适老化改造服务机构基本规范》和MZ/T 218—2024《老年人居家环境适老化改造通用要求》，以及北京、湖南、安徽、深圳、重庆、江苏、山东、湖北、辽宁、吉林等十余省市的地方标准。但这些标准存在以下不足：</w:t>
      </w:r>
    </w:p>
    <w:p w14:paraId="3EEEE565">
      <w:pPr>
        <w:spacing w:after="60" w:line="360" w:lineRule="auto"/>
        <w:ind w:firstLine="480"/>
      </w:pPr>
      <w:r>
        <w:rPr>
          <w:rFonts w:hint="eastAsia" w:ascii="宋体" w:hAnsi="宋体" w:eastAsia="宋体"/>
          <w:sz w:val="24"/>
        </w:rPr>
        <w:t>1. 智能化内容薄弱。现有标准大多以传统物理空间改造（如地面防滑、扶手安装、高差处理等）为主，智能化内容仅作为附属章节存在，内容简略、覆盖面窄，无法满足智能化改造的实际需求。</w:t>
      </w:r>
    </w:p>
    <w:p w14:paraId="24636E50">
      <w:pPr>
        <w:spacing w:after="60" w:line="360" w:lineRule="auto"/>
        <w:ind w:firstLine="480"/>
      </w:pPr>
      <w:r>
        <w:rPr>
          <w:rFonts w:hint="eastAsia" w:ascii="宋体" w:hAnsi="宋体" w:eastAsia="宋体"/>
          <w:sz w:val="24"/>
        </w:rPr>
        <w:t>2. 缺乏系统性。现有标准中涉及的智能化内容分散在不同章节，缺乏系统性的智能化改造框架和技术路线，改造实施单位难以据此开展完整的智能化改造工作。</w:t>
      </w:r>
    </w:p>
    <w:p w14:paraId="0B7EFD3E">
      <w:pPr>
        <w:spacing w:after="60" w:line="360" w:lineRule="auto"/>
        <w:ind w:firstLine="480"/>
      </w:pPr>
      <w:r>
        <w:rPr>
          <w:rFonts w:hint="eastAsia" w:ascii="宋体" w:hAnsi="宋体" w:eastAsia="宋体"/>
          <w:sz w:val="24"/>
        </w:rPr>
        <w:t>3. 社区-居家联动缺失。现有标准多聚焦于居家环境或社区环境的单一维度，缺乏社区公共区域与居家环境智能化改造的统筹规划和系统联动设计。</w:t>
      </w:r>
    </w:p>
    <w:p w14:paraId="5EAD8219">
      <w:pPr>
        <w:spacing w:after="60" w:line="360" w:lineRule="auto"/>
        <w:ind w:firstLine="480"/>
      </w:pPr>
      <w:r>
        <w:rPr>
          <w:rFonts w:hint="eastAsia" w:ascii="宋体" w:hAnsi="宋体" w:eastAsia="宋体"/>
          <w:sz w:val="24"/>
        </w:rPr>
        <w:t>4. 产品选型缺乏指导。智能化产品种类繁多、功能各异，现有标准未对智能化产品的适老性要求、兼容性、可靠性等方面给出系统指导，改造实施单位和老年人家庭在产品选型时缺乏参考依据。</w:t>
      </w:r>
    </w:p>
    <w:p w14:paraId="79577D64">
      <w:pPr>
        <w:spacing w:before="120" w:after="60"/>
      </w:pPr>
      <w:r>
        <w:rPr>
          <w:rFonts w:hint="eastAsia" w:ascii="黑体" w:hAnsi="黑体" w:eastAsia="黑体"/>
          <w:b/>
          <w:sz w:val="24"/>
        </w:rPr>
        <w:t>（四）本标准的作用</w:t>
      </w:r>
    </w:p>
    <w:p w14:paraId="578B8E7A">
      <w:pPr>
        <w:spacing w:after="60" w:line="360" w:lineRule="auto"/>
        <w:ind w:firstLine="480"/>
      </w:pPr>
      <w:r>
        <w:rPr>
          <w:rFonts w:hint="eastAsia" w:ascii="宋体" w:hAnsi="宋体" w:eastAsia="宋体"/>
          <w:sz w:val="24"/>
        </w:rPr>
        <w:t>本标准以智能化为核心主线，系统构建社区居家适老智能化改造的整体框架，涵盖改造评估、社区公共区域改造、居家环境改造、产品选型配置、施工调试与验收全流程，填补了我国在社区居家适老智能化改造领域指南性标准的空白。本标准的实施将有助于：</w:t>
      </w:r>
    </w:p>
    <w:p w14:paraId="12D0A0A1">
      <w:pPr>
        <w:spacing w:after="60" w:line="360" w:lineRule="auto"/>
        <w:ind w:firstLine="480"/>
      </w:pPr>
      <w:r>
        <w:rPr>
          <w:rFonts w:hint="eastAsia" w:ascii="宋体" w:hAnsi="宋体" w:eastAsia="宋体"/>
          <w:sz w:val="24"/>
        </w:rPr>
        <w:t>1. 为改造实施单位提供系统化的技术指引，规范改造流程和技术要求；</w:t>
      </w:r>
    </w:p>
    <w:p w14:paraId="03D8013F">
      <w:pPr>
        <w:spacing w:after="60" w:line="360" w:lineRule="auto"/>
        <w:ind w:firstLine="480"/>
      </w:pPr>
      <w:r>
        <w:rPr>
          <w:rFonts w:hint="eastAsia" w:ascii="宋体" w:hAnsi="宋体" w:eastAsia="宋体"/>
          <w:sz w:val="24"/>
        </w:rPr>
        <w:t>2. 为老年人家庭提供改造参考，帮助其科学合理地选择智能化改造方案；</w:t>
      </w:r>
    </w:p>
    <w:p w14:paraId="602832F4">
      <w:pPr>
        <w:spacing w:after="60" w:line="360" w:lineRule="auto"/>
        <w:ind w:firstLine="480"/>
      </w:pPr>
      <w:r>
        <w:rPr>
          <w:rFonts w:hint="eastAsia" w:ascii="宋体" w:hAnsi="宋体" w:eastAsia="宋体"/>
          <w:sz w:val="24"/>
        </w:rPr>
        <w:t>3. 为社区管理者推进社区适老智能化建设提供决策参考；</w:t>
      </w:r>
    </w:p>
    <w:p w14:paraId="2698BF21">
      <w:pPr>
        <w:spacing w:after="60" w:line="360" w:lineRule="auto"/>
        <w:ind w:firstLine="480"/>
      </w:pPr>
      <w:r>
        <w:rPr>
          <w:rFonts w:hint="eastAsia" w:ascii="宋体" w:hAnsi="宋体" w:eastAsia="宋体"/>
          <w:sz w:val="24"/>
        </w:rPr>
        <w:t>4. 促进智能化养老产品的规范化发展和推广应用；</w:t>
      </w:r>
    </w:p>
    <w:p w14:paraId="74938DDF">
      <w:pPr>
        <w:spacing w:after="60" w:line="360" w:lineRule="auto"/>
        <w:ind w:firstLine="480"/>
      </w:pPr>
      <w:r>
        <w:rPr>
          <w:rFonts w:hint="eastAsia" w:ascii="宋体" w:hAnsi="宋体" w:eastAsia="宋体"/>
          <w:sz w:val="24"/>
        </w:rPr>
        <w:t>5. 推动社区-居家联动照护模式的发展，提升老年人居家生活品质。</w:t>
      </w:r>
    </w:p>
    <w:p w14:paraId="14B0859A">
      <w:pPr>
        <w:spacing w:before="240" w:after="120"/>
      </w:pPr>
      <w:r>
        <w:rPr>
          <w:rFonts w:hint="eastAsia" w:ascii="黑体" w:hAnsi="黑体" w:eastAsia="黑体"/>
          <w:b/>
          <w:sz w:val="28"/>
        </w:rPr>
        <w:t>三、主要工作过程</w:t>
      </w:r>
    </w:p>
    <w:p w14:paraId="1063C268">
      <w:pPr>
        <w:spacing w:before="120" w:after="60"/>
      </w:pPr>
      <w:r>
        <w:rPr>
          <w:rFonts w:hint="eastAsia" w:ascii="黑体" w:hAnsi="黑体" w:eastAsia="黑体"/>
          <w:b/>
          <w:sz w:val="24"/>
        </w:rPr>
        <w:t>（一）标准立项阶段</w:t>
      </w:r>
    </w:p>
    <w:p w14:paraId="41241313">
      <w:pPr>
        <w:spacing w:after="60" w:line="360" w:lineRule="auto"/>
        <w:ind w:firstLine="480"/>
      </w:pPr>
      <w:r>
        <w:rPr>
          <w:rFonts w:hint="eastAsia" w:ascii="宋体" w:hAnsi="宋体" w:eastAsia="宋体"/>
          <w:sz w:val="24"/>
        </w:rPr>
        <w:t>北京劳动保障职业学院根据《中国特色高水平高职学校和专业建设计划（2025-2029年）建设方案》，提出开发《社区居家适老智能化改造指南》团体标准项目，并联合广东永爱医养产业有限公司组成标准起草组，向北京标准化协会提出团体标准立项申请。经北京标准化协会审查，批准立项。</w:t>
      </w:r>
    </w:p>
    <w:p w14:paraId="134F85FE">
      <w:pPr>
        <w:spacing w:before="120" w:after="60"/>
      </w:pPr>
      <w:r>
        <w:rPr>
          <w:rFonts w:hint="eastAsia" w:ascii="黑体" w:hAnsi="黑体" w:eastAsia="黑体"/>
          <w:b/>
          <w:sz w:val="24"/>
        </w:rPr>
        <w:t>（二）起草调研阶段</w:t>
      </w:r>
    </w:p>
    <w:p w14:paraId="34AC57C3">
      <w:pPr>
        <w:spacing w:after="60" w:line="360" w:lineRule="auto"/>
        <w:ind w:firstLine="480"/>
      </w:pPr>
      <w:r>
        <w:rPr>
          <w:rFonts w:hint="eastAsia" w:ascii="宋体" w:hAnsi="宋体" w:eastAsia="宋体"/>
          <w:sz w:val="24"/>
        </w:rPr>
        <w:t>标准起草组系统收集和分析了国内外适老化改造、智能家居、智慧养老等领域的相关标准、政策文件和技术资料，调研了北京、江苏、安徽、湖南、山东、湖北、重庆、深圳等多个省市的适老化改造实践案例，并对部分老年人家庭和社区进行了实地走访，了解老年人对智能化改造的实际需求和使用体验。在此基础上，起草组确定了标准的基本框架和核心技术内容，形成了标准草案初稿。</w:t>
      </w:r>
    </w:p>
    <w:p w14:paraId="52CC0DD8">
      <w:pPr>
        <w:spacing w:before="120" w:after="60"/>
      </w:pPr>
      <w:r>
        <w:rPr>
          <w:rFonts w:hint="eastAsia" w:ascii="黑体" w:hAnsi="黑体" w:eastAsia="黑体"/>
          <w:b/>
          <w:sz w:val="24"/>
        </w:rPr>
        <w:t>（三）征求意见阶段</w:t>
      </w:r>
    </w:p>
    <w:p w14:paraId="11D87807">
      <w:pPr>
        <w:spacing w:after="60" w:line="360" w:lineRule="auto"/>
        <w:ind w:firstLine="480"/>
      </w:pPr>
      <w:r>
        <w:rPr>
          <w:rFonts w:hint="eastAsia" w:ascii="宋体" w:hAnsi="宋体" w:eastAsia="宋体"/>
          <w:sz w:val="24"/>
        </w:rPr>
        <w:t>标准起草组将草案初稿发送至相关科研院所、养老服务机构、智能化产品企业、社区管理部门等单位广泛征求意见。起草组对收集到的意见进行了汇总分析和逐条处理，对标准草案进行修改完善，形成征求意见稿。</w:t>
      </w:r>
    </w:p>
    <w:p w14:paraId="315EFC8F">
      <w:pPr>
        <w:spacing w:before="120" w:after="60"/>
      </w:pPr>
      <w:r>
        <w:rPr>
          <w:rFonts w:hint="eastAsia" w:ascii="黑体" w:hAnsi="黑体" w:eastAsia="黑体"/>
          <w:b/>
          <w:sz w:val="24"/>
        </w:rPr>
        <w:t>（四）预审阶段</w:t>
      </w:r>
    </w:p>
    <w:p w14:paraId="6713BE54">
      <w:pPr>
        <w:spacing w:after="60" w:line="360" w:lineRule="auto"/>
        <w:ind w:firstLine="480"/>
      </w:pPr>
      <w:r>
        <w:rPr>
          <w:rFonts w:hint="eastAsia" w:ascii="宋体" w:hAnsi="宋体" w:eastAsia="宋体"/>
          <w:sz w:val="24"/>
        </w:rPr>
        <w:t>由行业主管部门组织召开标准预审会，邀请养老服务、智能化技术、标准化等领域的专家对征求意见稿进行审议。与会专家对标准框架、技术内容和条款表述等提出了修改建议，起草组据此进行修改，形成送审稿。</w:t>
      </w:r>
    </w:p>
    <w:p w14:paraId="56B3CC75">
      <w:pPr>
        <w:spacing w:before="120" w:after="60"/>
      </w:pPr>
      <w:r>
        <w:rPr>
          <w:rFonts w:hint="eastAsia" w:ascii="黑体" w:hAnsi="黑体" w:eastAsia="黑体"/>
          <w:b/>
          <w:sz w:val="24"/>
        </w:rPr>
        <w:t>（五）审查阶段</w:t>
      </w:r>
    </w:p>
    <w:p w14:paraId="5E6BF95A">
      <w:pPr>
        <w:spacing w:after="60" w:line="360" w:lineRule="auto"/>
        <w:ind w:firstLine="480"/>
      </w:pPr>
      <w:r>
        <w:rPr>
          <w:rFonts w:hint="eastAsia" w:ascii="宋体" w:hAnsi="宋体" w:eastAsia="宋体"/>
          <w:sz w:val="24"/>
        </w:rPr>
        <w:t>由北京标准化协会组织召开标准审查会，对送审稿进行技术审查。审查委员会对标准内容进行逐章逐条审议，形成审查意见。起草组根据审查意见对标准进行最终修改完善，形成报批稿。</w:t>
      </w:r>
    </w:p>
    <w:p w14:paraId="66DB22B0">
      <w:pPr>
        <w:spacing w:before="240" w:after="120"/>
      </w:pPr>
      <w:r>
        <w:rPr>
          <w:rFonts w:hint="eastAsia" w:ascii="黑体" w:hAnsi="黑体" w:eastAsia="黑体"/>
          <w:b/>
          <w:sz w:val="28"/>
        </w:rPr>
        <w:t>四、制定标准的原则和依据，与现行法律、法规、标准的关系</w:t>
      </w:r>
    </w:p>
    <w:p w14:paraId="5AF28AA3">
      <w:pPr>
        <w:spacing w:before="120" w:after="60"/>
      </w:pPr>
      <w:r>
        <w:rPr>
          <w:rFonts w:hint="eastAsia" w:ascii="黑体" w:hAnsi="黑体" w:eastAsia="黑体"/>
          <w:b/>
          <w:sz w:val="24"/>
        </w:rPr>
        <w:t>（一）制定原则</w:t>
      </w:r>
    </w:p>
    <w:p w14:paraId="26246BA8">
      <w:pPr>
        <w:spacing w:after="60" w:line="360" w:lineRule="auto"/>
        <w:ind w:firstLine="480"/>
      </w:pPr>
      <w:r>
        <w:rPr>
          <w:rFonts w:hint="eastAsia" w:ascii="宋体" w:hAnsi="宋体" w:eastAsia="宋体"/>
          <w:sz w:val="24"/>
        </w:rPr>
        <w:t>1. 科学性原则。标准内容基于对国内外适老化改造和智能化技术应用的系统调研，参考了相关国家标准、行业标准和地方标准，确保技术内容的科学性和合理性。</w:t>
      </w:r>
    </w:p>
    <w:p w14:paraId="0CDACA4E">
      <w:pPr>
        <w:spacing w:after="60" w:line="360" w:lineRule="auto"/>
        <w:ind w:firstLine="480"/>
      </w:pPr>
      <w:r>
        <w:rPr>
          <w:rFonts w:hint="eastAsia" w:ascii="宋体" w:hAnsi="宋体" w:eastAsia="宋体"/>
          <w:sz w:val="24"/>
        </w:rPr>
        <w:t>2. 适用性原则。标准以指南性定位编制，提供推荐性技术指引而非强制性要求，适用于不同地区、不同条件下的社区居家适老智能化改造实践。</w:t>
      </w:r>
    </w:p>
    <w:p w14:paraId="0A38F037">
      <w:pPr>
        <w:spacing w:after="60" w:line="360" w:lineRule="auto"/>
        <w:ind w:firstLine="480"/>
      </w:pPr>
      <w:r>
        <w:rPr>
          <w:rFonts w:hint="eastAsia" w:ascii="宋体" w:hAnsi="宋体" w:eastAsia="宋体"/>
          <w:sz w:val="24"/>
        </w:rPr>
        <w:t>3. 前瞻性原则。标准充分考虑智能化技术发展趋势，在技术路线设计和产品选型要求中预留了扩展空间，适应技术迭代升级的需要。</w:t>
      </w:r>
    </w:p>
    <w:p w14:paraId="0FCBFC8A">
      <w:pPr>
        <w:spacing w:after="60" w:line="360" w:lineRule="auto"/>
        <w:ind w:firstLine="480"/>
      </w:pPr>
      <w:r>
        <w:rPr>
          <w:rFonts w:hint="eastAsia" w:ascii="宋体" w:hAnsi="宋体" w:eastAsia="宋体"/>
          <w:sz w:val="24"/>
        </w:rPr>
        <w:t>4. 协调性原则。标准与现行法律法规和上级标准保持协调一致，避免与已有标准重复冲突，注重与相关标准的衔接配合。</w:t>
      </w:r>
    </w:p>
    <w:p w14:paraId="1D4DB9D1">
      <w:pPr>
        <w:spacing w:before="120" w:after="60"/>
      </w:pPr>
      <w:r>
        <w:rPr>
          <w:rFonts w:hint="eastAsia" w:ascii="黑体" w:hAnsi="黑体" w:eastAsia="黑体"/>
          <w:b/>
          <w:sz w:val="24"/>
        </w:rPr>
        <w:t>（二）法律法规依据</w:t>
      </w:r>
    </w:p>
    <w:p w14:paraId="6DD839C6">
      <w:pPr>
        <w:spacing w:after="60" w:line="360" w:lineRule="auto"/>
        <w:ind w:firstLine="480"/>
      </w:pPr>
      <w:r>
        <w:rPr>
          <w:rFonts w:hint="eastAsia" w:ascii="宋体" w:hAnsi="宋体" w:eastAsia="宋体"/>
          <w:sz w:val="24"/>
        </w:rPr>
        <w:t>本标准的制定依据主要包括：《中华人民共和国老年人权益保障法》《中华人民共和国标准化法》《国务院关于印发"十四五"国家老龄事业发展和养老服务体系规划的通知》（国发〔2021〕35号）、《国务院办公厅关于发展银发经济增进老年人福祉的意见》（国办发〔2024〕1号）、《国务院办公厅关于切实解决老年人运用智能技术困难的实施方案》（国办发〔2020〕45号）等法律法规和政策文件；以及《北京市"十四五"时期老龄事业发展规划》《北京市积极应对人口老龄化实施方案（2021—2025年）》《关于加强"老老人"服务保障的若干措施》《关于加强设计服务推动居家适老化改造和产业发展的实施方案（试行）》等北京市地方政策文件。</w:t>
      </w:r>
    </w:p>
    <w:p w14:paraId="43768499">
      <w:pPr>
        <w:spacing w:before="120" w:after="60"/>
      </w:pPr>
      <w:r>
        <w:rPr>
          <w:rFonts w:hint="eastAsia" w:ascii="黑体" w:hAnsi="黑体" w:eastAsia="黑体"/>
          <w:b/>
          <w:sz w:val="24"/>
        </w:rPr>
        <w:t>（三）与相关标准的关系</w:t>
      </w:r>
    </w:p>
    <w:p w14:paraId="2BED2D0D">
      <w:pPr>
        <w:spacing w:after="60" w:line="360" w:lineRule="auto"/>
        <w:ind w:firstLine="480"/>
      </w:pPr>
      <w:r>
        <w:rPr>
          <w:rFonts w:hint="eastAsia" w:ascii="宋体" w:hAnsi="宋体" w:eastAsia="宋体"/>
          <w:sz w:val="24"/>
        </w:rPr>
        <w:t>1. 与MZ/T 217—2024《老年人居家环境适老化改造服务机构基本规范》的关系。本标准引用MZ/T 217作为规范性引用文件，在改造服务机构和人员管理方面与该标准保持一致，重点在智能化改造的技术内容上形成补充和深化。</w:t>
      </w:r>
    </w:p>
    <w:p w14:paraId="5EBA1E3E">
      <w:pPr>
        <w:spacing w:after="60" w:line="360" w:lineRule="auto"/>
        <w:ind w:firstLine="480"/>
      </w:pPr>
      <w:r>
        <w:rPr>
          <w:rFonts w:hint="eastAsia" w:ascii="宋体" w:hAnsi="宋体" w:eastAsia="宋体"/>
          <w:sz w:val="24"/>
        </w:rPr>
        <w:t>2. 与MZ/T 218—2024《老年人居家环境适老化改造通用要求》的关系。MZ/T 218规定了居家环境适老化改造的通用要求，本标准在改造评估、改造验收等思路方面与该标准衔接，在智能化改造的具体技术要求上进行拓展和细化，MZ/T 218已列入本文件参考文献。</w:t>
      </w:r>
    </w:p>
    <w:p w14:paraId="6370BFA2">
      <w:pPr>
        <w:spacing w:after="60" w:line="360" w:lineRule="auto"/>
        <w:ind w:firstLine="480"/>
      </w:pPr>
      <w:r>
        <w:rPr>
          <w:rFonts w:hint="eastAsia" w:ascii="宋体" w:hAnsi="宋体" w:eastAsia="宋体"/>
          <w:sz w:val="24"/>
        </w:rPr>
        <w:t>3. 与DB11/T 2306—2024《居家适老化改造服务规范》的关系。该标准为北京市地方标准，规定了居家适老化改造的服务规范，本标准在服务流程方面与之衔接，在智能化改造内容方面形成补充。</w:t>
      </w:r>
    </w:p>
    <w:p w14:paraId="1D4295F6">
      <w:pPr>
        <w:spacing w:after="60" w:line="360" w:lineRule="auto"/>
        <w:ind w:firstLine="480"/>
      </w:pPr>
      <w:r>
        <w:rPr>
          <w:rFonts w:hint="eastAsia" w:ascii="宋体" w:hAnsi="宋体" w:eastAsia="宋体"/>
          <w:sz w:val="24"/>
        </w:rPr>
        <w:t>4. 与JGJ/T 484《养老服务智能化系统技术标准》的关系。该标准为养老服务智能化系统的工程技术标准，本标准在智能化系统技术要求方面参考该标准，在面向社区居家环境的改造指南方面形成差异化补充。</w:t>
      </w:r>
    </w:p>
    <w:p w14:paraId="2A062311">
      <w:pPr>
        <w:spacing w:after="60" w:line="360" w:lineRule="auto"/>
        <w:ind w:firstLine="480"/>
      </w:pPr>
      <w:r>
        <w:rPr>
          <w:rFonts w:hint="eastAsia" w:ascii="宋体" w:hAnsi="宋体" w:eastAsia="宋体"/>
          <w:sz w:val="24"/>
        </w:rPr>
        <w:t>5. 与DB32/T 4631—2023《既有住宅适老化改造技术标准》等地方标准的关系。该标准在第8.5节对智能化改造有所涉及，本标准在此基础上大幅拓展了智能化改造的内容深度和覆盖范围，并将社区公共区域纳入改造范围，形成更系统完整的智能化改造指南。</w:t>
      </w:r>
    </w:p>
    <w:p w14:paraId="07866497">
      <w:pPr>
        <w:spacing w:after="60" w:line="360" w:lineRule="auto"/>
        <w:ind w:firstLine="480"/>
      </w:pPr>
      <w:r>
        <w:t>6. 与GB/T 16432、GB 12523及GB 55022的引用关系。GB/T 16432《康复辅助器具 分类和术语》用于第7.5.3条康复辅助器具类别划分的表述，GB 12523《建筑施工场界环境噪声排放标准》用于第9.1.3条施工场界噪声排放要求，两者均已列为规范性引用文件；GB 55022《既有建筑维护与改造通用规范》在正文第9.1.1条施工资质中引用，亦属规范性引用文件。</w:t>
      </w:r>
    </w:p>
    <w:p w14:paraId="20AE9094">
      <w:pPr>
        <w:spacing w:before="120" w:after="60"/>
      </w:pPr>
      <w:r>
        <w:rPr>
          <w:rFonts w:hint="eastAsia" w:ascii="黑体" w:hAnsi="黑体" w:eastAsia="黑体"/>
          <w:b/>
          <w:sz w:val="24"/>
        </w:rPr>
        <w:t>（四）对比分析</w:t>
      </w:r>
    </w:p>
    <w:p w14:paraId="19E71C6F">
      <w:pPr>
        <w:spacing w:after="60" w:line="360" w:lineRule="auto"/>
        <w:ind w:firstLine="480"/>
      </w:pPr>
      <w:r>
        <w:rPr>
          <w:rFonts w:hint="eastAsia" w:ascii="宋体" w:hAnsi="宋体" w:eastAsia="宋体"/>
          <w:sz w:val="24"/>
        </w:rPr>
        <w:t>本标准与现有相关标准的主要区别和补充关系如下表所示：</w:t>
      </w:r>
    </w:p>
    <w:tbl>
      <w:tblPr>
        <w:tblStyle w:val="33"/>
        <w:tblW w:w="8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1"/>
        <w:gridCol w:w="1506"/>
        <w:gridCol w:w="2958"/>
        <w:gridCol w:w="2864"/>
      </w:tblGrid>
      <w:tr w14:paraId="047B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551" w:type="dxa"/>
            <w:vAlign w:val="center"/>
          </w:tcPr>
          <w:p w14:paraId="7728F6DC">
            <w:pPr>
              <w:snapToGrid w:val="0"/>
              <w:spacing w:after="0" w:line="240" w:lineRule="auto"/>
              <w:ind w:left="0" w:leftChars="0" w:right="0" w:rightChars="0" w:firstLine="0" w:firstLineChars="0"/>
              <w:jc w:val="center"/>
              <w:rPr>
                <w:rFonts w:ascii="宋体" w:eastAsia="宋体"/>
                <w:b/>
                <w:sz w:val="20"/>
              </w:rPr>
            </w:pPr>
            <w:r>
              <w:rPr>
                <w:rFonts w:hint="eastAsia" w:ascii="宋体" w:hAnsi="宋体" w:eastAsia="宋体"/>
                <w:b/>
                <w:sz w:val="20"/>
              </w:rPr>
              <w:t>对比维度</w:t>
            </w:r>
          </w:p>
        </w:tc>
        <w:tc>
          <w:tcPr>
            <w:tcW w:w="1506" w:type="dxa"/>
            <w:vAlign w:val="center"/>
          </w:tcPr>
          <w:p w14:paraId="07BC559E">
            <w:pPr>
              <w:snapToGrid w:val="0"/>
              <w:spacing w:after="0" w:line="240" w:lineRule="auto"/>
              <w:ind w:left="0" w:leftChars="0" w:right="0" w:rightChars="0" w:firstLine="0" w:firstLineChars="0"/>
              <w:jc w:val="center"/>
              <w:rPr>
                <w:rFonts w:ascii="宋体" w:eastAsia="宋体"/>
                <w:b/>
                <w:sz w:val="20"/>
              </w:rPr>
            </w:pPr>
            <w:r>
              <w:rPr>
                <w:rFonts w:hint="eastAsia" w:ascii="宋体" w:hAnsi="宋体" w:eastAsia="宋体"/>
                <w:b/>
                <w:sz w:val="20"/>
              </w:rPr>
              <w:t>现有标准</w:t>
            </w:r>
          </w:p>
        </w:tc>
        <w:tc>
          <w:tcPr>
            <w:tcW w:w="2958" w:type="dxa"/>
            <w:vAlign w:val="center"/>
          </w:tcPr>
          <w:p w14:paraId="5B9578CC">
            <w:pPr>
              <w:snapToGrid w:val="0"/>
              <w:spacing w:after="0" w:line="240" w:lineRule="auto"/>
              <w:ind w:left="0" w:leftChars="0" w:right="0" w:rightChars="0" w:firstLine="0" w:firstLineChars="0"/>
              <w:jc w:val="center"/>
              <w:rPr>
                <w:rFonts w:ascii="宋体" w:eastAsia="宋体"/>
                <w:b/>
                <w:sz w:val="20"/>
              </w:rPr>
            </w:pPr>
            <w:r>
              <w:rPr>
                <w:rFonts w:hint="eastAsia" w:ascii="宋体" w:hAnsi="宋体" w:eastAsia="宋体"/>
                <w:b/>
                <w:sz w:val="20"/>
              </w:rPr>
              <w:t>本标准</w:t>
            </w:r>
          </w:p>
        </w:tc>
        <w:tc>
          <w:tcPr>
            <w:tcW w:w="2864" w:type="dxa"/>
            <w:vAlign w:val="center"/>
          </w:tcPr>
          <w:p w14:paraId="204AD4FC">
            <w:pPr>
              <w:snapToGrid w:val="0"/>
              <w:spacing w:after="0" w:line="240" w:lineRule="auto"/>
              <w:ind w:left="0" w:leftChars="0" w:right="0" w:rightChars="0" w:firstLine="0" w:firstLineChars="0"/>
              <w:jc w:val="center"/>
              <w:rPr>
                <w:rFonts w:ascii="宋体" w:eastAsia="宋体"/>
                <w:b/>
                <w:sz w:val="20"/>
              </w:rPr>
            </w:pPr>
            <w:r>
              <w:rPr>
                <w:rFonts w:hint="eastAsia" w:ascii="宋体" w:hAnsi="宋体" w:eastAsia="宋体"/>
                <w:b/>
                <w:sz w:val="20"/>
              </w:rPr>
              <w:t>差异说明</w:t>
            </w:r>
          </w:p>
        </w:tc>
      </w:tr>
      <w:tr w14:paraId="57CA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1" w:type="dxa"/>
            <w:vAlign w:val="center"/>
          </w:tcPr>
          <w:p w14:paraId="09CEEBA0">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智能化定位</w:t>
            </w:r>
          </w:p>
        </w:tc>
        <w:tc>
          <w:tcPr>
            <w:tcW w:w="1506" w:type="dxa"/>
            <w:vAlign w:val="center"/>
          </w:tcPr>
          <w:p w14:paraId="59E2617E">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作为附属章节，内容简略</w:t>
            </w:r>
          </w:p>
        </w:tc>
        <w:tc>
          <w:tcPr>
            <w:tcW w:w="2958" w:type="dxa"/>
            <w:vAlign w:val="center"/>
          </w:tcPr>
          <w:p w14:paraId="144E4723">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以智能化为核心主线</w:t>
            </w:r>
          </w:p>
        </w:tc>
        <w:tc>
          <w:tcPr>
            <w:tcW w:w="2864" w:type="dxa"/>
            <w:vAlign w:val="center"/>
          </w:tcPr>
          <w:p w14:paraId="5C1859DA">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本标准首次将智能化作为适老改造的核心主题</w:t>
            </w:r>
          </w:p>
        </w:tc>
      </w:tr>
      <w:tr w14:paraId="3C4A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1" w:type="dxa"/>
            <w:vAlign w:val="center"/>
          </w:tcPr>
          <w:p w14:paraId="3318F6F2">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覆盖范围</w:t>
            </w:r>
          </w:p>
        </w:tc>
        <w:tc>
          <w:tcPr>
            <w:tcW w:w="1506" w:type="dxa"/>
            <w:vAlign w:val="center"/>
          </w:tcPr>
          <w:p w14:paraId="3F1B27BD">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多聚焦居家或社区单一维度</w:t>
            </w:r>
          </w:p>
        </w:tc>
        <w:tc>
          <w:tcPr>
            <w:tcW w:w="2958" w:type="dxa"/>
            <w:vAlign w:val="center"/>
          </w:tcPr>
          <w:p w14:paraId="3E30EE6B">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社区+居家双维度统筹</w:t>
            </w:r>
          </w:p>
        </w:tc>
        <w:tc>
          <w:tcPr>
            <w:tcW w:w="2864" w:type="dxa"/>
            <w:vAlign w:val="center"/>
          </w:tcPr>
          <w:p w14:paraId="04278D6B">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本标准实现社区-居家联动设计</w:t>
            </w:r>
          </w:p>
        </w:tc>
      </w:tr>
      <w:tr w14:paraId="6080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1" w:type="dxa"/>
            <w:vAlign w:val="center"/>
          </w:tcPr>
          <w:p w14:paraId="4162B720">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内容深度</w:t>
            </w:r>
          </w:p>
        </w:tc>
        <w:tc>
          <w:tcPr>
            <w:tcW w:w="1506" w:type="dxa"/>
            <w:vAlign w:val="center"/>
          </w:tcPr>
          <w:p w14:paraId="6466C574">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智能化仅涉及产品罗列</w:t>
            </w:r>
          </w:p>
        </w:tc>
        <w:tc>
          <w:tcPr>
            <w:tcW w:w="2958" w:type="dxa"/>
            <w:vAlign w:val="center"/>
          </w:tcPr>
          <w:p w14:paraId="2B498ED2">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涵盖评估、改造、选型、施工、验收全流程</w:t>
            </w:r>
          </w:p>
        </w:tc>
        <w:tc>
          <w:tcPr>
            <w:tcW w:w="2864" w:type="dxa"/>
            <w:vAlign w:val="center"/>
          </w:tcPr>
          <w:p w14:paraId="1AEAAA68">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本标准提供完整技术路线</w:t>
            </w:r>
          </w:p>
        </w:tc>
      </w:tr>
      <w:tr w14:paraId="66D1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1" w:type="dxa"/>
            <w:vAlign w:val="center"/>
          </w:tcPr>
          <w:p w14:paraId="622C50C2">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产品选型指导</w:t>
            </w:r>
          </w:p>
        </w:tc>
        <w:tc>
          <w:tcPr>
            <w:tcW w:w="1506" w:type="dxa"/>
            <w:vAlign w:val="center"/>
          </w:tcPr>
          <w:p w14:paraId="313AC3D0">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缺乏</w:t>
            </w:r>
          </w:p>
        </w:tc>
        <w:tc>
          <w:tcPr>
            <w:tcW w:w="2958" w:type="dxa"/>
            <w:vAlign w:val="center"/>
          </w:tcPr>
          <w:p w14:paraId="0C772489">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系统规定适老性、兼容性、可靠性要求</w:t>
            </w:r>
          </w:p>
        </w:tc>
        <w:tc>
          <w:tcPr>
            <w:tcW w:w="2864" w:type="dxa"/>
            <w:vAlign w:val="center"/>
          </w:tcPr>
          <w:p w14:paraId="43319B7A">
            <w:pPr>
              <w:snapToGrid w:val="0"/>
              <w:spacing w:after="0" w:line="240" w:lineRule="auto"/>
              <w:ind w:left="0" w:leftChars="0" w:right="0" w:rightChars="0" w:firstLine="0" w:firstLineChars="0"/>
              <w:jc w:val="center"/>
              <w:rPr>
                <w:rFonts w:ascii="宋体" w:eastAsia="宋体"/>
                <w:sz w:val="20"/>
              </w:rPr>
            </w:pPr>
            <w:r>
              <w:rPr>
                <w:rFonts w:hint="eastAsia" w:ascii="宋体" w:hAnsi="宋体" w:eastAsia="宋体"/>
                <w:b w:val="0"/>
                <w:sz w:val="20"/>
              </w:rPr>
              <w:t>本标准填补产品选型指导空白</w:t>
            </w:r>
          </w:p>
        </w:tc>
      </w:tr>
      <w:tr w14:paraId="342F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1" w:type="dxa"/>
            <w:shd w:val="clear" w:color="auto" w:fill="auto"/>
            <w:vAlign w:val="center"/>
          </w:tcPr>
          <w:p w14:paraId="38EDE60C">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配置分级</w:t>
            </w:r>
          </w:p>
        </w:tc>
        <w:tc>
          <w:tcPr>
            <w:tcW w:w="1506" w:type="dxa"/>
            <w:shd w:val="clear" w:color="auto" w:fill="auto"/>
            <w:vAlign w:val="center"/>
          </w:tcPr>
          <w:p w14:paraId="7C70AC7F">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多数未涉及</w:t>
            </w:r>
          </w:p>
        </w:tc>
        <w:tc>
          <w:tcPr>
            <w:tcW w:w="2958" w:type="dxa"/>
            <w:shd w:val="clear" w:color="auto" w:fill="auto"/>
            <w:vAlign w:val="center"/>
          </w:tcPr>
          <w:p w14:paraId="0730E7BE">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分为基础保障类和完善提升类</w:t>
            </w:r>
          </w:p>
        </w:tc>
        <w:tc>
          <w:tcPr>
            <w:tcW w:w="2864" w:type="dxa"/>
            <w:shd w:val="clear" w:color="auto" w:fill="auto"/>
            <w:vAlign w:val="center"/>
          </w:tcPr>
          <w:p w14:paraId="74A71FA6">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本标准便于分步实施、渐进改造</w:t>
            </w:r>
          </w:p>
        </w:tc>
      </w:tr>
      <w:tr w14:paraId="3F52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1" w:type="dxa"/>
            <w:shd w:val="clear" w:color="auto" w:fill="auto"/>
            <w:vAlign w:val="center"/>
          </w:tcPr>
          <w:p w14:paraId="2922FB14">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数据安全</w:t>
            </w:r>
          </w:p>
        </w:tc>
        <w:tc>
          <w:tcPr>
            <w:tcW w:w="1506" w:type="dxa"/>
            <w:shd w:val="clear" w:color="auto" w:fill="auto"/>
            <w:vAlign w:val="center"/>
          </w:tcPr>
          <w:p w14:paraId="3BCD84CA">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较少涉及</w:t>
            </w:r>
          </w:p>
        </w:tc>
        <w:tc>
          <w:tcPr>
            <w:tcW w:w="2958" w:type="dxa"/>
            <w:shd w:val="clear" w:color="auto" w:fill="auto"/>
            <w:vAlign w:val="center"/>
          </w:tcPr>
          <w:p w14:paraId="5941D2FA">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专设数据安全与隐私保护条款</w:t>
            </w:r>
          </w:p>
        </w:tc>
        <w:tc>
          <w:tcPr>
            <w:tcW w:w="2864" w:type="dxa"/>
            <w:shd w:val="clear" w:color="auto" w:fill="auto"/>
            <w:vAlign w:val="center"/>
          </w:tcPr>
          <w:p w14:paraId="729D2F3D">
            <w:pPr>
              <w:snapToGrid w:val="0"/>
              <w:spacing w:after="0" w:line="240" w:lineRule="auto"/>
              <w:ind w:left="0" w:leftChars="0" w:right="0" w:rightChars="0" w:firstLine="0" w:firstLineChars="0"/>
              <w:jc w:val="center"/>
              <w:rPr>
                <w:rFonts w:ascii="宋体" w:eastAsia="宋体"/>
                <w:sz w:val="20"/>
                <w:highlight w:val="none"/>
              </w:rPr>
            </w:pPr>
            <w:r>
              <w:rPr>
                <w:rFonts w:hint="eastAsia" w:ascii="宋体" w:hAnsi="宋体" w:eastAsia="宋体"/>
                <w:b w:val="0"/>
                <w:sz w:val="20"/>
                <w:highlight w:val="none"/>
              </w:rPr>
              <w:t>本标准关注智能化带来的数据安全新挑战</w:t>
            </w:r>
          </w:p>
        </w:tc>
      </w:tr>
    </w:tbl>
    <w:p w14:paraId="388EBD4D">
      <w:pPr>
        <w:spacing w:before="240" w:after="120"/>
      </w:pPr>
      <w:r>
        <w:rPr>
          <w:rFonts w:hint="eastAsia" w:ascii="黑体" w:hAnsi="黑体" w:eastAsia="黑体"/>
          <w:b/>
          <w:sz w:val="28"/>
        </w:rPr>
        <w:t>五、主要条款的说明</w:t>
      </w:r>
    </w:p>
    <w:p w14:paraId="0308A566">
      <w:pPr>
        <w:spacing w:before="120" w:after="60"/>
      </w:pPr>
      <w:r>
        <w:rPr>
          <w:rFonts w:hint="eastAsia" w:ascii="黑体" w:hAnsi="黑体" w:eastAsia="黑体"/>
          <w:b/>
          <w:sz w:val="24"/>
        </w:rPr>
        <w:t>（一）范围</w:t>
      </w:r>
    </w:p>
    <w:p w14:paraId="748C4755">
      <w:pPr>
        <w:spacing w:after="60" w:line="360" w:lineRule="auto"/>
        <w:ind w:firstLine="480"/>
      </w:pPr>
      <w:r>
        <w:rPr>
          <w:rFonts w:hint="eastAsia" w:ascii="宋体" w:hAnsi="宋体" w:eastAsia="宋体"/>
          <w:sz w:val="24"/>
        </w:rPr>
        <w:t>本标准提供了总体原则、改造评估与改造方案、社区公共区域智能化改造、居家环境智能化改造、智能化产品选型与配置、施工安装与调试等六方面内容，适用于社区公共区域及老年人居家环境的适老智能化改造项目的设计、实施及验收。明确将“社区公共区域”和“居家环境”两个维度同时纳入适用范围，体现社区-居家联动的设计理念。</w:t>
      </w:r>
    </w:p>
    <w:p w14:paraId="2E0D32BC">
      <w:pPr>
        <w:spacing w:before="120" w:after="60"/>
      </w:pPr>
      <w:r>
        <w:rPr>
          <w:rFonts w:hint="eastAsia" w:ascii="黑体" w:hAnsi="黑体" w:eastAsia="黑体"/>
          <w:b/>
          <w:sz w:val="24"/>
        </w:rPr>
        <w:t>（二）术语和定义</w:t>
      </w:r>
    </w:p>
    <w:p w14:paraId="3ED82DFC">
      <w:pPr>
        <w:spacing w:after="60" w:line="360" w:lineRule="auto"/>
        <w:ind w:firstLine="480"/>
      </w:pPr>
      <w:r>
        <w:rPr>
          <w:rFonts w:hint="eastAsia" w:ascii="宋体" w:hAnsi="宋体" w:eastAsia="宋体"/>
          <w:sz w:val="24"/>
        </w:rPr>
        <w:t>本标准界定了“社区居家适老智能化改造”“本地报警”“远程报警”“智能安全防护”“智能健康监测”“智能环境控制”“智能生活辅助”“适老智能终端”“紧急呼叫装置”等9个核心术语。其中“本地报警”“远程报警”和“紧急呼叫装置”是本次修订扩充的新术语：“本地报警”指报警装置在安装现场以声、光方式直接发出的报警，“远程报警”指报警信息经网络传送至平台、家庭成员或照护人员等远端接收方的报警提示，两者相互对应，共同支撑正文4.1、7.1.3、7.2.3、7.2.4、9.2.3等条款的两级报警口径；“紧急呼叫装置”因其在安全防护体系中的关键作用而单独界定。“社区居家适老智能化改造”是本标准的基础性概念；其余术语参照MZ/T 218—2024、JGJ/T 484、GB/T 42195等既有标准表述核对改写，具备业内共识基础。“社区智慧养老服务平台”不再单列术语，正文按“社区智慧养老服务平台（以下简称“平台”）”的方式表述。</w:t>
      </w:r>
    </w:p>
    <w:p w14:paraId="3D2B808F">
      <w:pPr>
        <w:spacing w:before="120" w:after="60"/>
      </w:pPr>
      <w:r>
        <w:rPr>
          <w:rFonts w:hint="eastAsia" w:ascii="黑体" w:hAnsi="黑体" w:eastAsia="黑体"/>
          <w:b/>
          <w:sz w:val="24"/>
        </w:rPr>
        <w:t>（三）总体原则</w:t>
      </w:r>
    </w:p>
    <w:p w14:paraId="6BDA13F2">
      <w:pPr>
        <w:spacing w:after="60" w:line="360" w:lineRule="auto"/>
        <w:ind w:firstLine="480"/>
      </w:pPr>
      <w:r>
        <w:rPr>
          <w:rFonts w:hint="eastAsia" w:ascii="宋体" w:hAnsi="宋体" w:eastAsia="宋体"/>
          <w:sz w:val="24"/>
        </w:rPr>
        <w:t>确立了安全优先、以人为本、便捷易用、需求导向、系统集成、数据安全与隐私保护、渐进式改造等7项原则。其中"安全优先"作为首要原则，强调智能化改造中安全防护系统的稳定可靠性；"数据安全与隐私保护"针对智能化改造中个人信息采集的新风险，要求符合GB/T 35273等标准要求；"渐进式改造"倡导根据老年人身体机能变化渐进实施，预留扩展能力。</w:t>
      </w:r>
    </w:p>
    <w:p w14:paraId="16474C34">
      <w:pPr>
        <w:spacing w:before="120" w:after="60"/>
      </w:pPr>
      <w:r>
        <w:rPr>
          <w:rFonts w:hint="eastAsia" w:ascii="黑体" w:hAnsi="黑体" w:eastAsia="黑体"/>
          <w:b/>
          <w:sz w:val="24"/>
        </w:rPr>
        <w:t>（四）改造评估与改造方案</w:t>
      </w:r>
    </w:p>
    <w:p w14:paraId="38F19A3C">
      <w:pPr>
        <w:spacing w:after="60" w:line="360" w:lineRule="auto"/>
        <w:ind w:firstLine="480"/>
      </w:pPr>
      <w:r>
        <w:rPr>
          <w:rFonts w:hint="eastAsia" w:ascii="宋体" w:hAnsi="宋体" w:eastAsia="宋体"/>
          <w:sz w:val="24"/>
        </w:rPr>
        <w:t>设置了基本要点、老年人能力评估、家庭情况评估、环境现状评估、智能化需求评估、技术与经济可行性评估及改造方案等条目。要求按照GB/T 42195进行老年人能力评估，并将评估结果与改造配置联动（按能力完好、轻度受损、中度受损、认知障碍分别明确配置侧重）；家庭情况评估覆盖照护者状况、生活习惯及智能技术接受程度；将智能化改造项目分为基础保障类和完善提升类按优先级排序；改造方案宜经改造实施单位、项目委托方及老年人或相关第三方共同确认。这一设计借鉴了MZ/T 218和DB32/T 4631的评估思路，但在评估维度完整性和改造方案确认机制方面进行了专门拓展。</w:t>
      </w:r>
    </w:p>
    <w:p w14:paraId="5ACAF093">
      <w:pPr>
        <w:spacing w:before="120" w:after="60"/>
      </w:pPr>
      <w:r>
        <w:rPr>
          <w:rFonts w:hint="eastAsia" w:ascii="黑体" w:hAnsi="黑体" w:eastAsia="黑体"/>
          <w:b/>
          <w:sz w:val="24"/>
        </w:rPr>
        <w:t>（五）社区公共区域智能化改造</w:t>
      </w:r>
    </w:p>
    <w:p w14:paraId="342B1CAE">
      <w:pPr>
        <w:spacing w:after="60" w:line="360" w:lineRule="auto"/>
        <w:ind w:firstLine="480"/>
      </w:pPr>
      <w:r>
        <w:rPr>
          <w:rFonts w:hint="eastAsia" w:ascii="宋体" w:hAnsi="宋体" w:eastAsia="宋体"/>
          <w:sz w:val="24"/>
        </w:rPr>
        <w:t>从基本要点、智能出入管理、公共区域安全监测、紧急求助系统、智能导引与信息服务、社区智慧养老服务平台等6个方面提出社区公共区域智能化改造指南。其中社区智慧养老服务平台明确了紧急呼叫与安全监护、健康管理、主动关怀、服务预约、活动管理与信息发布等五类服务功能，并提出了NB-IoT、Cat.1、4G/5G等物联网接入方式。本章节是本标准区别于现有居家适老化改造标准的重要特色，将社区公共区域纳入智能化改造范围，实现社区-居家联动。</w:t>
      </w:r>
    </w:p>
    <w:p w14:paraId="38E02C83">
      <w:pPr>
        <w:spacing w:before="120" w:after="60"/>
      </w:pPr>
      <w:r>
        <w:rPr>
          <w:rFonts w:hint="eastAsia" w:ascii="黑体" w:hAnsi="黑体" w:eastAsia="黑体"/>
          <w:b/>
          <w:sz w:val="24"/>
        </w:rPr>
        <w:t>（六）居家环境智能化改造</w:t>
      </w:r>
    </w:p>
    <w:p w14:paraId="7B54BDBF">
      <w:pPr>
        <w:spacing w:after="60" w:line="360" w:lineRule="auto"/>
        <w:ind w:firstLine="480"/>
      </w:pPr>
      <w:r>
        <w:rPr>
          <w:rFonts w:hint="eastAsia" w:ascii="宋体" w:hAnsi="宋体" w:eastAsia="宋体"/>
          <w:sz w:val="24"/>
        </w:rPr>
        <w:t>从智能安全防护（入户安全、防跌倒监测、火灾与燃气安全、水浸与用电安全、紧急呼叫）、智能健康监测（生命体征监测、日常活动监测、健康数据管理）、智能环境控制（智能照明、温湿度与空气质量调节、智能窗帘与门窗）、智能生活辅助（智能家居控制、智能厨卫、智能辅具）、智能社交与精神慰藉等5大功能领域、18个子项提出居家环境智能化改造指南。相比现有标准，本标准在智能化改造内容的系统性、全面性和深度上均有显著提升。</w:t>
      </w:r>
    </w:p>
    <w:p w14:paraId="58C5467C">
      <w:pPr>
        <w:spacing w:before="120" w:after="60"/>
      </w:pPr>
      <w:r>
        <w:rPr>
          <w:rFonts w:hint="eastAsia" w:ascii="黑体" w:hAnsi="黑体" w:eastAsia="黑体"/>
          <w:b/>
          <w:sz w:val="24"/>
        </w:rPr>
        <w:t>（七）智能化产品选型与配置</w:t>
      </w:r>
    </w:p>
    <w:p w14:paraId="75EB3DD5">
      <w:pPr>
        <w:spacing w:after="60" w:line="360" w:lineRule="auto"/>
        <w:ind w:firstLine="480"/>
      </w:pPr>
      <w:r>
        <w:rPr>
          <w:rFonts w:hint="eastAsia" w:ascii="宋体" w:hAnsi="宋体" w:eastAsia="宋体"/>
          <w:sz w:val="24"/>
        </w:rPr>
        <w:t>从基本要点（含适老性）、兼容性与互联性、可靠性与安全性、配置分级等4个方面提出产品选型指引。特别强调了适老性——操作界面简洁、支持语音交互、声光反馈、容错机制等，这些在现有标准中均未系统提出。配置分级（基础保障类/完善提升类）的设计便于改造实施单位根据实际条件分步实施，并在正文中以配置分级表和附录A配置建议表的形式给出具体配置项目。</w:t>
      </w:r>
    </w:p>
    <w:p w14:paraId="6FD1A854">
      <w:pPr>
        <w:spacing w:before="120" w:after="60"/>
      </w:pPr>
      <w:r>
        <w:rPr>
          <w:rFonts w:hint="eastAsia" w:ascii="黑体" w:hAnsi="黑体" w:eastAsia="黑体"/>
          <w:b/>
          <w:sz w:val="24"/>
        </w:rPr>
        <w:t>（八）施工安装与调试</w:t>
      </w:r>
    </w:p>
    <w:p w14:paraId="71EF757F">
      <w:pPr>
        <w:spacing w:after="60" w:line="360" w:lineRule="auto"/>
        <w:ind w:firstLine="480"/>
        <w:rPr>
          <w:rFonts w:hint="eastAsia" w:ascii="宋体" w:hAnsi="宋体" w:eastAsia="宋体"/>
          <w:sz w:val="24"/>
        </w:rPr>
      </w:pPr>
      <w:r>
        <w:rPr>
          <w:rFonts w:hint="eastAsia" w:ascii="宋体" w:hAnsi="宋体" w:eastAsia="宋体"/>
          <w:sz w:val="24"/>
        </w:rPr>
        <w:t>对施工要点、系统调试、使用培训和验收给出指南。特别强调使用培训的必要性——智能化设备功能复杂，老年人使用能力有限，培训是确保改造效果落地的关键环节。宜提供简明操作指南或视频，并在交付后一定期限内提供回访和再培训服务。改造项目完成后宜组织验收，验收宜由改造实施单位会同项目委托方（出资方）、老年人或相关第三方共同进行，验收项目与验收内容可参照附录B给出的验收记录表执行，验收记录宜存档留存。</w:t>
      </w:r>
    </w:p>
    <w:p w14:paraId="4A974425">
      <w:pPr>
        <w:spacing w:before="120" w:after="60"/>
      </w:pPr>
      <w:r>
        <w:rPr>
          <w:rFonts w:hint="eastAsia" w:ascii="黑体" w:hAnsi="黑体" w:eastAsia="黑体"/>
          <w:b/>
          <w:sz w:val="24"/>
        </w:rPr>
        <w:t>（九）附录</w:t>
      </w:r>
    </w:p>
    <w:p w14:paraId="1EC13F2F">
      <w:pPr>
        <w:spacing w:after="60" w:line="360" w:lineRule="auto"/>
        <w:ind w:firstLine="480"/>
        <w:rPr>
          <w:rFonts w:hint="eastAsia" w:ascii="宋体" w:hAnsi="宋体" w:eastAsia="宋体"/>
          <w:sz w:val="24"/>
        </w:rPr>
      </w:pPr>
      <w:r>
        <w:rPr>
          <w:rFonts w:hint="eastAsia" w:ascii="宋体" w:hAnsi="宋体" w:eastAsia="宋体"/>
          <w:sz w:val="24"/>
        </w:rPr>
        <w:t>附录A（资料性）给出了社区居家适老智能化改造配置建议，按功能类别、配置项目、设置部位、主要功能与技术要求及配置等级（基础保障类/完善提升类）给出配置参考，供改造实施单位和老年人家庭选用时参考；附录B（资料性）提供了社区居家适老智能化改造验收记录表示例，涵盖设备配置、功能、联动、网络与平台、施工质量、适老性等验收项目和三方签字栏，供验收时参考使用；正文9.4已给出“验收项目与验收内容可参照附录B给出的验收记录表执行”的引用表述，形成正文—附录引用闭环。</w:t>
      </w:r>
    </w:p>
    <w:p w14:paraId="5E05A5A2">
      <w:pPr>
        <w:spacing w:before="240" w:after="120"/>
      </w:pPr>
      <w:r>
        <w:rPr>
          <w:rFonts w:hint="eastAsia" w:ascii="黑体" w:hAnsi="黑体" w:eastAsia="黑体"/>
          <w:b/>
          <w:sz w:val="28"/>
        </w:rPr>
        <w:t>六、重大意见分歧的处理依据和结果</w:t>
      </w:r>
    </w:p>
    <w:p w14:paraId="5EF39AAF">
      <w:pPr>
        <w:spacing w:after="60" w:line="360" w:lineRule="auto"/>
        <w:ind w:firstLine="480"/>
      </w:pPr>
      <w:r>
        <w:rPr>
          <w:rFonts w:hint="eastAsia" w:ascii="宋体" w:hAnsi="宋体" w:eastAsia="宋体"/>
          <w:sz w:val="24"/>
        </w:rPr>
        <w:t>本标准在起草过程中，暂未出现重大意见分歧。标准起草组在征求意见阶段充分听取各方意见，</w:t>
      </w:r>
      <w:r>
        <w:rPr>
          <w:rFonts w:hint="eastAsia" w:ascii="宋体" w:hAnsi="宋体" w:eastAsia="宋体"/>
          <w:sz w:val="24"/>
          <w:lang w:val="en-US" w:eastAsia="zh-CN"/>
        </w:rPr>
        <w:t>进行了如下</w:t>
      </w:r>
      <w:r>
        <w:rPr>
          <w:rFonts w:hint="eastAsia" w:ascii="宋体" w:hAnsi="宋体" w:eastAsia="宋体"/>
          <w:sz w:val="24"/>
        </w:rPr>
        <w:t>处理：</w:t>
      </w:r>
    </w:p>
    <w:p w14:paraId="2E586F66">
      <w:pPr>
        <w:spacing w:after="60" w:line="360" w:lineRule="auto"/>
        <w:ind w:firstLine="480"/>
      </w:pPr>
      <w:r>
        <w:t>2026年9月初审会期间，5位专家共提出修改意见61条。起草组逐条研究处理：采纳56条，部分采纳3条（“一般要求”的表述方式、技术内容的简化程度、附录A表格跨页续表处理），不采纳2条（标准名称的修改、适用范围中“验收与运维”的删除）。对不采纳及部分采纳的意见，起草组均已说明理由。意见处理情况详见《意见汇总处理表》。</w:t>
      </w:r>
    </w:p>
    <w:p w14:paraId="7EFD9D9F">
      <w:pPr>
        <w:spacing w:after="60" w:line="360" w:lineRule="auto"/>
        <w:ind w:firstLine="480"/>
      </w:pPr>
      <w:r>
        <w:t>另需说明：初审会意见处理完成后，起草组结合指南类团体标准的定位与篇幅控制要求，对标准结构作了进一步精简调整：删除原第10章“验收与评价”和第11章“运行维护与持续改进”，将验收内容整合为第9章9.4条（验收项目与验收内容可参照附录B给出的验收记录表执行），档案管理要求并入第6章6.6.7条“数据安全与档案管理”并与MZ/T 217衔接；第1章范围表述相应同步修改，标准正文由11章调整为9章。</w:t>
      </w:r>
    </w:p>
    <w:p w14:paraId="2B9B8489">
      <w:pPr>
        <w:spacing w:before="240" w:after="120"/>
      </w:pPr>
      <w:r>
        <w:rPr>
          <w:rFonts w:hint="eastAsia" w:ascii="黑体" w:hAnsi="黑体" w:eastAsia="黑体"/>
          <w:b/>
          <w:sz w:val="28"/>
        </w:rPr>
        <w:t>七、与国内外同类标准水平的对比情况</w:t>
      </w:r>
    </w:p>
    <w:p w14:paraId="0DA5B019">
      <w:pPr>
        <w:spacing w:before="120" w:after="60"/>
      </w:pPr>
      <w:r>
        <w:rPr>
          <w:rFonts w:hint="eastAsia" w:ascii="黑体" w:hAnsi="黑体" w:eastAsia="黑体"/>
          <w:b/>
          <w:sz w:val="24"/>
        </w:rPr>
        <w:t>（一）国内同类标准情况</w:t>
      </w:r>
    </w:p>
    <w:p w14:paraId="59750A97">
      <w:pPr>
        <w:spacing w:after="60" w:line="360" w:lineRule="auto"/>
        <w:ind w:firstLine="480"/>
      </w:pPr>
      <w:r>
        <w:rPr>
          <w:rFonts w:hint="eastAsia" w:ascii="宋体" w:hAnsi="宋体" w:eastAsia="宋体"/>
          <w:sz w:val="24"/>
        </w:rPr>
        <w:t>国内目前尚未发布专门针对"社区居家适老智能化改造"的指南性标准。现有适老化改造相关标准中，智能化内容较为薄弱：</w:t>
      </w:r>
    </w:p>
    <w:p w14:paraId="29DC2E2D">
      <w:pPr>
        <w:spacing w:after="60" w:line="360" w:lineRule="auto"/>
        <w:ind w:firstLine="480"/>
      </w:pPr>
      <w:r>
        <w:rPr>
          <w:rFonts w:hint="eastAsia" w:ascii="宋体" w:hAnsi="宋体" w:eastAsia="宋体"/>
          <w:sz w:val="24"/>
        </w:rPr>
        <w:t>1. 民政行业标准MZ/T 218—2024在"器具与智能产品配置"章节中简要提及智能产品配置，但内容较为概括，未形成系统性的智能化改造指南。</w:t>
      </w:r>
    </w:p>
    <w:p w14:paraId="03082764">
      <w:pPr>
        <w:spacing w:after="60" w:line="360" w:lineRule="auto"/>
        <w:ind w:firstLine="480"/>
      </w:pPr>
      <w:r>
        <w:rPr>
          <w:rFonts w:hint="eastAsia" w:ascii="宋体" w:hAnsi="宋体" w:eastAsia="宋体"/>
          <w:sz w:val="24"/>
        </w:rPr>
        <w:t>2. 江苏省地方标准DB32/T 4631—2023在第8.5节"智能化"中对既有住宅家居智能化改造有较为详细的规定，涵盖家居安全、信息设施、健康、环境、娱乐、监控等系统，但该标准整体定位为"既有住宅适老化改造技术标准"，智能化仅为其中一个子项，且未涉及社区公共区域。</w:t>
      </w:r>
    </w:p>
    <w:p w14:paraId="0C393D7A">
      <w:pPr>
        <w:spacing w:after="60" w:line="360" w:lineRule="auto"/>
        <w:ind w:firstLine="480"/>
      </w:pPr>
      <w:r>
        <w:rPr>
          <w:rFonts w:hint="eastAsia" w:ascii="宋体" w:hAnsi="宋体" w:eastAsia="宋体"/>
          <w:sz w:val="24"/>
        </w:rPr>
        <w:t>3. 深圳市地方标准DB4403/T 399—2023在"智能化产品"章节中列举了部分智能产品，但内容较为简略，缺乏系统性的技术指引。</w:t>
      </w:r>
    </w:p>
    <w:p w14:paraId="22403627">
      <w:pPr>
        <w:spacing w:after="60" w:line="360" w:lineRule="auto"/>
        <w:ind w:firstLine="480"/>
      </w:pPr>
      <w:r>
        <w:rPr>
          <w:rFonts w:hint="eastAsia" w:ascii="宋体" w:hAnsi="宋体" w:eastAsia="宋体"/>
          <w:sz w:val="24"/>
        </w:rPr>
        <w:t>4. 重庆市地方标准DB50/T 1870—2025在"智能产品配置"章节中对智能产品有所涉及，但篇幅有限，覆盖面较窄。</w:t>
      </w:r>
    </w:p>
    <w:p w14:paraId="2E52C902">
      <w:pPr>
        <w:spacing w:before="120" w:after="60"/>
      </w:pPr>
      <w:r>
        <w:rPr>
          <w:rFonts w:hint="eastAsia" w:ascii="黑体" w:hAnsi="黑体" w:eastAsia="黑体"/>
          <w:b/>
          <w:sz w:val="24"/>
        </w:rPr>
        <w:t>（二）本标准的先进性</w:t>
      </w:r>
    </w:p>
    <w:p w14:paraId="23EC0A7B">
      <w:pPr>
        <w:spacing w:after="60" w:line="360" w:lineRule="auto"/>
        <w:ind w:firstLine="480"/>
      </w:pPr>
      <w:r>
        <w:rPr>
          <w:rFonts w:hint="eastAsia" w:ascii="宋体" w:hAnsi="宋体" w:eastAsia="宋体"/>
          <w:sz w:val="24"/>
        </w:rPr>
        <w:t>与上述标准相比，本标准具有以下先进性和创新性：</w:t>
      </w:r>
    </w:p>
    <w:p w14:paraId="31A3157B">
      <w:pPr>
        <w:spacing w:after="60" w:line="360" w:lineRule="auto"/>
        <w:ind w:firstLine="480"/>
      </w:pPr>
      <w:r>
        <w:rPr>
          <w:rFonts w:hint="eastAsia" w:ascii="宋体" w:hAnsi="宋体" w:eastAsia="宋体"/>
          <w:sz w:val="24"/>
        </w:rPr>
        <w:t>1. 填补空白：本标准是国内首个以"智能化"为核心主线的社区居家适老改造指南性团体标准，填补了该领域的标准空白。</w:t>
      </w:r>
    </w:p>
    <w:p w14:paraId="0C5D760D">
      <w:pPr>
        <w:spacing w:after="60" w:line="360" w:lineRule="auto"/>
        <w:ind w:firstLine="480"/>
      </w:pPr>
      <w:r>
        <w:rPr>
          <w:rFonts w:hint="eastAsia" w:ascii="宋体" w:hAnsi="宋体" w:eastAsia="宋体"/>
          <w:sz w:val="24"/>
        </w:rPr>
        <w:t>2. 双维度覆盖：本标准同时覆盖社区公共区域和居家环境两个维度，实现社区-居家联动智能化改造，现有标准均未实现这一覆盖。</w:t>
      </w:r>
    </w:p>
    <w:p w14:paraId="0672A446">
      <w:pPr>
        <w:spacing w:after="60" w:line="360" w:lineRule="auto"/>
        <w:ind w:firstLine="480"/>
      </w:pPr>
      <w:r>
        <w:rPr>
          <w:rFonts w:hint="eastAsia" w:ascii="宋体" w:hAnsi="宋体" w:eastAsia="宋体"/>
          <w:sz w:val="24"/>
        </w:rPr>
        <w:t>3. 全流程指引：本标准涵盖从改造评估到施工验收的全流程技术指引，构建了完整的智能化改造技术路线，现有标准的智能化内容多为片段式、列举式，缺乏全流程设计。</w:t>
      </w:r>
    </w:p>
    <w:p w14:paraId="0C53B476">
      <w:pPr>
        <w:spacing w:after="60" w:line="360" w:lineRule="auto"/>
        <w:ind w:firstLine="480"/>
      </w:pPr>
      <w:r>
        <w:rPr>
          <w:rFonts w:hint="eastAsia" w:ascii="宋体" w:hAnsi="宋体" w:eastAsia="宋体"/>
          <w:sz w:val="24"/>
        </w:rPr>
        <w:t>4. 适老性系统规定：本标准首次系统规定了智能化产品的适老性要求（操作界面、语音交互、声光反馈、容错机制等），为智能化产品在适老领域的规范化应用提供了指导。</w:t>
      </w:r>
    </w:p>
    <w:p w14:paraId="36465C43">
      <w:pPr>
        <w:spacing w:after="60" w:line="360" w:lineRule="auto"/>
        <w:ind w:firstLine="480"/>
      </w:pPr>
      <w:r>
        <w:rPr>
          <w:rFonts w:hint="eastAsia" w:ascii="宋体" w:hAnsi="宋体" w:eastAsia="宋体"/>
          <w:sz w:val="24"/>
        </w:rPr>
        <w:t>5. 配置分级设计：本标准提出基础保障类和完善提升类的分级方案，并以附录A配置建议表逐项落地，便于根据不同条件和需求分步实施，具有较强的可操作性。</w:t>
      </w:r>
    </w:p>
    <w:p w14:paraId="5FEBE8C4">
      <w:pPr>
        <w:spacing w:after="60" w:line="360" w:lineRule="auto"/>
        <w:ind w:firstLine="480"/>
      </w:pPr>
      <w:r>
        <w:rPr>
          <w:rFonts w:hint="eastAsia" w:ascii="宋体" w:hAnsi="宋体" w:eastAsia="宋体"/>
          <w:sz w:val="24"/>
        </w:rPr>
        <w:t>6. 数据安全关注：本标准专设数据安全与隐私保护条款，关注智能化改造带来的个人信息安全新挑战，体现了标准的前瞻性。</w:t>
      </w:r>
    </w:p>
    <w:p w14:paraId="18CE0C55">
      <w:pPr>
        <w:spacing w:before="240" w:after="120"/>
      </w:pPr>
      <w:r>
        <w:rPr>
          <w:rFonts w:hint="eastAsia" w:ascii="黑体" w:hAnsi="黑体" w:eastAsia="黑体"/>
          <w:b/>
          <w:sz w:val="28"/>
        </w:rPr>
        <w:t>八、实施标准的措施</w:t>
      </w:r>
    </w:p>
    <w:p w14:paraId="0B778D84">
      <w:pPr>
        <w:spacing w:before="120" w:after="60"/>
      </w:pPr>
      <w:r>
        <w:rPr>
          <w:rFonts w:hint="eastAsia" w:ascii="黑体" w:hAnsi="黑体" w:eastAsia="黑体"/>
          <w:b/>
          <w:sz w:val="24"/>
        </w:rPr>
        <w:t>（一）宣贯培训</w:t>
      </w:r>
    </w:p>
    <w:p w14:paraId="733B561E">
      <w:pPr>
        <w:spacing w:after="60" w:line="360" w:lineRule="auto"/>
        <w:ind w:firstLine="480"/>
      </w:pPr>
      <w:r>
        <w:rPr>
          <w:rFonts w:hint="eastAsia" w:ascii="宋体" w:hAnsi="宋体" w:eastAsia="宋体"/>
          <w:sz w:val="24"/>
        </w:rPr>
        <w:t>1. 由北京标准化协会和起草单位组织开展标准宣贯培训活动，面向养老服务管理机构、适老化改造服务企业、智能化产品企业、社区管理部门等进行标准解读和技术培训。</w:t>
      </w:r>
    </w:p>
    <w:p w14:paraId="2586014E">
      <w:pPr>
        <w:spacing w:after="60" w:line="360" w:lineRule="auto"/>
        <w:ind w:firstLine="480"/>
      </w:pPr>
      <w:r>
        <w:rPr>
          <w:rFonts w:hint="eastAsia" w:ascii="宋体" w:hAnsi="宋体" w:eastAsia="宋体"/>
          <w:sz w:val="24"/>
        </w:rPr>
        <w:t>2. 结合北京劳动保障职业学院的职业教育优势，将本标准纳入养老服务相关专业教学资源，培养掌握社区居家适老智能化改造技术的专业人才。</w:t>
      </w:r>
    </w:p>
    <w:p w14:paraId="29623A0F">
      <w:pPr>
        <w:spacing w:after="60" w:line="360" w:lineRule="auto"/>
        <w:ind w:firstLine="480"/>
      </w:pPr>
      <w:r>
        <w:rPr>
          <w:rFonts w:hint="eastAsia" w:ascii="宋体" w:hAnsi="宋体" w:eastAsia="宋体"/>
          <w:sz w:val="24"/>
        </w:rPr>
        <w:t>3. 制作标准解读视频和操作指南等宣贯材料，通过线上线下多种渠道扩大标准的知晓度和影响力。</w:t>
      </w:r>
    </w:p>
    <w:p w14:paraId="240EF3F6">
      <w:pPr>
        <w:spacing w:before="120" w:after="60"/>
      </w:pPr>
      <w:r>
        <w:rPr>
          <w:rFonts w:hint="eastAsia" w:ascii="黑体" w:hAnsi="黑体" w:eastAsia="黑体"/>
          <w:b/>
          <w:sz w:val="24"/>
        </w:rPr>
        <w:t>（二）试点示范</w:t>
      </w:r>
    </w:p>
    <w:p w14:paraId="19E5A95A">
      <w:pPr>
        <w:spacing w:after="60" w:line="360" w:lineRule="auto"/>
        <w:ind w:firstLine="480"/>
      </w:pPr>
      <w:r>
        <w:rPr>
          <w:rFonts w:hint="eastAsia" w:ascii="宋体" w:hAnsi="宋体" w:eastAsia="宋体"/>
          <w:sz w:val="24"/>
        </w:rPr>
        <w:t>1. 在北京市选择具备条件的社区开展社区居家适老智能化改造试点示范项目，验证标准技术内容的可行性和适用性。</w:t>
      </w:r>
    </w:p>
    <w:p w14:paraId="35F0DCC4">
      <w:pPr>
        <w:spacing w:after="60" w:line="360" w:lineRule="auto"/>
        <w:ind w:firstLine="480"/>
      </w:pPr>
      <w:r>
        <w:rPr>
          <w:rFonts w:hint="eastAsia" w:ascii="宋体" w:hAnsi="宋体" w:eastAsia="宋体"/>
          <w:sz w:val="24"/>
        </w:rPr>
        <w:t>2. 总结试点经验，形成典型案例集，为标准推广提供实践支撑。</w:t>
      </w:r>
    </w:p>
    <w:p w14:paraId="2AEDA163">
      <w:pPr>
        <w:spacing w:after="60" w:line="360" w:lineRule="auto"/>
        <w:ind w:firstLine="480"/>
      </w:pPr>
      <w:r>
        <w:rPr>
          <w:rFonts w:hint="eastAsia" w:ascii="宋体" w:hAnsi="宋体" w:eastAsia="宋体"/>
          <w:sz w:val="24"/>
        </w:rPr>
        <w:t>3. 鼓励其他地区参考本标准开展适老智能化改造实践，逐步扩大标准应用范围。</w:t>
      </w:r>
    </w:p>
    <w:p w14:paraId="57C25262">
      <w:pPr>
        <w:spacing w:before="120" w:after="60"/>
      </w:pPr>
      <w:r>
        <w:rPr>
          <w:rFonts w:hint="eastAsia" w:ascii="黑体" w:hAnsi="黑体" w:eastAsia="黑体"/>
          <w:b/>
          <w:sz w:val="24"/>
        </w:rPr>
        <w:t>（三）配套措施</w:t>
      </w:r>
    </w:p>
    <w:p w14:paraId="4081F058">
      <w:pPr>
        <w:spacing w:after="60" w:line="360" w:lineRule="auto"/>
        <w:ind w:firstLine="480"/>
      </w:pPr>
      <w:r>
        <w:rPr>
          <w:rFonts w:hint="eastAsia" w:ascii="宋体" w:hAnsi="宋体" w:eastAsia="宋体"/>
          <w:sz w:val="24"/>
        </w:rPr>
        <w:t>1. 建议民政、住建等相关部门在推进适老化改造工作中参考引用本标准，将智能化改造纳入适老化改造政策支持范围。</w:t>
      </w:r>
    </w:p>
    <w:p w14:paraId="26785050">
      <w:pPr>
        <w:spacing w:after="60" w:line="360" w:lineRule="auto"/>
        <w:ind w:firstLine="480"/>
      </w:pPr>
      <w:r>
        <w:rPr>
          <w:rFonts w:hint="eastAsia" w:ascii="宋体" w:hAnsi="宋体" w:eastAsia="宋体"/>
          <w:sz w:val="24"/>
        </w:rPr>
        <w:t>2. 推动智能化产品企业在产品研发中参考本标准的适老性要求，提升产品的适老化水平。</w:t>
      </w:r>
    </w:p>
    <w:p w14:paraId="6C33A9A5">
      <w:pPr>
        <w:spacing w:after="60" w:line="360" w:lineRule="auto"/>
        <w:ind w:firstLine="480"/>
      </w:pPr>
      <w:r>
        <w:rPr>
          <w:rFonts w:hint="eastAsia" w:ascii="宋体" w:hAnsi="宋体" w:eastAsia="宋体"/>
          <w:sz w:val="24"/>
        </w:rPr>
        <w:t>3. 建立标准实施信息反馈机制，收集标准使用中的问题和建议，为标准修订提供依据。</w:t>
      </w:r>
    </w:p>
    <w:p w14:paraId="2D0DCD09">
      <w:pPr>
        <w:spacing w:before="120" w:after="60"/>
      </w:pPr>
      <w:r>
        <w:rPr>
          <w:rFonts w:hint="eastAsia" w:ascii="黑体" w:hAnsi="黑体" w:eastAsia="黑体"/>
          <w:b/>
          <w:sz w:val="24"/>
        </w:rPr>
        <w:t>（四）监督检查</w:t>
      </w:r>
    </w:p>
    <w:p w14:paraId="52C40AC8">
      <w:pPr>
        <w:spacing w:after="60" w:line="360" w:lineRule="auto"/>
        <w:ind w:firstLine="480"/>
      </w:pPr>
      <w:r>
        <w:rPr>
          <w:rFonts w:hint="eastAsia" w:ascii="宋体" w:hAnsi="宋体" w:eastAsia="宋体"/>
          <w:sz w:val="24"/>
        </w:rPr>
        <w:t>1. 建议行业主管部门将本标准作为适老化改造项目验收和评价的参考依据之一。</w:t>
      </w:r>
    </w:p>
    <w:p w14:paraId="72189C31">
      <w:pPr>
        <w:spacing w:after="60" w:line="360" w:lineRule="auto"/>
        <w:ind w:firstLine="480"/>
      </w:pPr>
      <w:r>
        <w:rPr>
          <w:rFonts w:hint="eastAsia" w:ascii="宋体" w:hAnsi="宋体" w:eastAsia="宋体"/>
          <w:sz w:val="24"/>
        </w:rPr>
        <w:t>2. 发挥北京标准化协会的团体标准实施监督作用，定期评估标准实施效果。</w:t>
      </w:r>
    </w:p>
    <w:p w14:paraId="1C3D0C9C">
      <w:pPr>
        <w:spacing w:after="60" w:line="360" w:lineRule="auto"/>
        <w:ind w:firstLine="480"/>
      </w:pPr>
      <w:r>
        <w:rPr>
          <w:rFonts w:hint="eastAsia" w:ascii="宋体" w:hAnsi="宋体" w:eastAsia="宋体"/>
          <w:sz w:val="24"/>
        </w:rPr>
        <w:t>3. 鼓励社会公众和媒体对标准实施情况进行监督。</w:t>
      </w:r>
    </w:p>
    <w:p w14:paraId="3C32EAC8">
      <w:pPr>
        <w:spacing w:before="240" w:after="120"/>
      </w:pPr>
      <w:r>
        <w:rPr>
          <w:rFonts w:hint="eastAsia" w:ascii="黑体" w:hAnsi="黑体" w:eastAsia="黑体"/>
          <w:b/>
          <w:sz w:val="28"/>
        </w:rPr>
        <w:t>九、其他应说明的事项</w:t>
      </w:r>
    </w:p>
    <w:p w14:paraId="6DB22652">
      <w:pPr>
        <w:spacing w:after="60" w:line="360" w:lineRule="auto"/>
        <w:ind w:firstLine="480"/>
      </w:pPr>
      <w:r>
        <w:rPr>
          <w:rFonts w:hint="eastAsia" w:ascii="宋体" w:hAnsi="宋体" w:eastAsia="宋体"/>
          <w:sz w:val="24"/>
        </w:rPr>
        <w:t>1. 本标准不涉及专利和独家垄断等情况。</w:t>
      </w:r>
    </w:p>
    <w:p w14:paraId="08C57246">
      <w:pPr>
        <w:spacing w:after="60" w:line="360" w:lineRule="auto"/>
        <w:ind w:firstLine="480"/>
      </w:pPr>
      <w:r>
        <w:rPr>
          <w:rFonts w:hint="eastAsia" w:ascii="宋体" w:hAnsi="宋体" w:eastAsia="宋体"/>
          <w:sz w:val="24"/>
        </w:rPr>
        <w:t>2. 本标准为首次制定，标准实施过程中将根据技术发展和实践反馈适时进行修订完善。</w:t>
      </w:r>
    </w:p>
    <w:p w14:paraId="66C5B258">
      <w:pPr>
        <w:spacing w:after="60" w:line="360" w:lineRule="auto"/>
        <w:ind w:firstLine="480"/>
        <w:rPr>
          <w:rFonts w:hint="eastAsia" w:ascii="宋体" w:hAnsi="宋体" w:eastAsia="宋体"/>
          <w:sz w:val="24"/>
        </w:rPr>
      </w:pPr>
      <w:r>
        <w:rPr>
          <w:rFonts w:hint="eastAsia" w:ascii="宋体" w:hAnsi="宋体" w:eastAsia="宋体"/>
          <w:sz w:val="24"/>
        </w:rPr>
        <w:t>3. 本标准中涉及的智能化产品和技术仅为推荐性指引，不构成对特定品牌或产品的推荐。改造实施单位和老年人家庭宜根据实际需求、经济条件和技术条件，合理选择智能化产品和技术方案。</w:t>
      </w:r>
    </w:p>
    <w:p w14:paraId="67EA5BE2">
      <w:pPr>
        <w:spacing w:after="60" w:line="360" w:lineRule="auto"/>
        <w:ind w:firstLine="480"/>
        <w:rPr>
          <w:rFonts w:hint="eastAsia" w:ascii="宋体" w:hAnsi="宋体" w:eastAsia="宋体"/>
          <w:sz w:val="24"/>
        </w:rPr>
      </w:pPr>
    </w:p>
    <w:p w14:paraId="0BD3455C">
      <w:pPr>
        <w:spacing w:after="60" w:line="360" w:lineRule="auto"/>
        <w:ind w:firstLine="480"/>
        <w:rPr>
          <w:rFonts w:hint="eastAsia" w:ascii="宋体" w:hAnsi="宋体" w:eastAsia="宋体"/>
          <w:sz w:val="24"/>
        </w:rPr>
      </w:pPr>
    </w:p>
    <w:p w14:paraId="6FE62FB1">
      <w:pPr>
        <w:spacing w:after="60" w:line="360" w:lineRule="auto"/>
        <w:ind w:firstLine="480"/>
        <w:jc w:val="righ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 xml:space="preserve">标准编制工作组 </w:t>
      </w:r>
    </w:p>
    <w:p w14:paraId="5BEDB64A">
      <w:pPr>
        <w:spacing w:after="60" w:line="360" w:lineRule="auto"/>
        <w:ind w:firstLine="480"/>
        <w:jc w:val="right"/>
        <w:rPr>
          <w:rFonts w:hint="default" w:ascii="宋体" w:hAnsi="宋体" w:eastAsia="宋体"/>
          <w:sz w:val="24"/>
          <w:lang w:val="en-US" w:eastAsia="zh-CN"/>
        </w:rPr>
      </w:pPr>
      <w:r>
        <w:rPr>
          <w:rFonts w:hint="eastAsia" w:ascii="宋体" w:hAnsi="宋体" w:eastAsia="宋体" w:cs="宋体"/>
          <w:b w:val="0"/>
          <w:bCs w:val="0"/>
          <w:color w:val="000000"/>
          <w:sz w:val="24"/>
          <w:szCs w:val="24"/>
        </w:rPr>
        <w:t>2026.</w:t>
      </w:r>
      <w:r>
        <w:rPr>
          <w:rFonts w:hint="eastAsia" w:ascii="宋体" w:hAnsi="宋体" w:eastAsia="宋体" w:cs="宋体"/>
          <w:b w:val="0"/>
          <w:bCs w:val="0"/>
          <w:color w:val="000000"/>
          <w:sz w:val="24"/>
          <w:szCs w:val="24"/>
          <w:lang w:val="en-US" w:eastAsia="zh-CN"/>
        </w:rPr>
        <w:t>10</w:t>
      </w:r>
    </w:p>
    <w:p w14:paraId="783E5FD7">
      <w:pPr>
        <w:spacing w:after="60" w:line="360" w:lineRule="auto"/>
        <w:ind w:firstLine="480"/>
      </w:pPr>
    </w:p>
    <w:sectPr>
      <w:pgSz w:w="11906" w:h="16838"/>
      <w:pgMar w:top="1440" w:right="1440"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74C3C56E"/>
    <w:multiLevelType w:val="singleLevel"/>
    <w:tmpl w:val="74C3C56E"/>
    <w:lvl w:ilvl="0" w:tentative="0">
      <w:start w:val="1"/>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01617A1"/>
    <w:rsid w:val="1A755AB9"/>
    <w:rsid w:val="2D24069A"/>
    <w:rsid w:val="348A2592"/>
    <w:rsid w:val="389132BF"/>
    <w:rsid w:val="455A1A40"/>
    <w:rsid w:val="4EF42ECA"/>
    <w:rsid w:val="6BCA186A"/>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7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86"/>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7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7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70"/>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8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81"/>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80"/>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7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7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8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54"/>
    <w:unhideWhenUsed/>
    <w:qFormat/>
    <w:uiPriority w:val="99"/>
    <w:pPr>
      <w:tabs>
        <w:tab w:val="center" w:pos="4680"/>
        <w:tab w:val="right" w:pos="9360"/>
      </w:tabs>
      <w:spacing w:after="0" w:line="240" w:lineRule="auto"/>
    </w:pPr>
  </w:style>
  <w:style w:type="paragraph" w:styleId="25">
    <w:name w:val="header"/>
    <w:basedOn w:val="1"/>
    <w:link w:val="145"/>
    <w:unhideWhenUsed/>
    <w:qFormat/>
    <w:uiPriority w:val="99"/>
    <w:pPr>
      <w:tabs>
        <w:tab w:val="center" w:pos="4680"/>
        <w:tab w:val="right" w:pos="9360"/>
      </w:tabs>
      <w:spacing w:after="0" w:line="240" w:lineRule="auto"/>
    </w:pPr>
  </w:style>
  <w:style w:type="paragraph" w:styleId="26">
    <w:name w:val="Subtitle"/>
    <w:basedOn w:val="1"/>
    <w:next w:val="1"/>
    <w:link w:val="16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7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6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Intense Quote Char"/>
    <w:basedOn w:val="132"/>
    <w:qFormat/>
    <w:uiPriority w:val="30"/>
    <w:rPr>
      <w:b/>
      <w:bCs/>
      <w:i/>
      <w:iCs/>
      <w:color w:val="4F81BD" w:themeColor="accent1"/>
      <w14:textFill>
        <w14:solidFill>
          <w14:schemeClr w14:val="accent1"/>
        </w14:solidFill>
      </w14:textFill>
    </w:rPr>
  </w:style>
  <w:style w:type="paragraph" w:styleId="136">
    <w:name w:val="Intense Quote"/>
    <w:basedOn w:val="1"/>
    <w:next w:val="1"/>
    <w:link w:val="17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37">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38">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39">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0">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41">
    <w:name w:val="Macro Text Char"/>
    <w:basedOn w:val="132"/>
    <w:link w:val="2"/>
    <w:qFormat/>
    <w:uiPriority w:val="99"/>
    <w:rPr>
      <w:rFonts w:ascii="Courier" w:hAnsi="Courier"/>
      <w:sz w:val="20"/>
      <w:szCs w:val="20"/>
    </w:rPr>
  </w:style>
  <w:style w:type="character" w:customStyle="1" w:styleId="142">
    <w:name w:val="Body Text Char"/>
    <w:basedOn w:val="132"/>
    <w:link w:val="19"/>
    <w:qFormat/>
    <w:uiPriority w:val="99"/>
  </w:style>
  <w:style w:type="character" w:customStyle="1" w:styleId="143">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44">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5">
    <w:name w:val="Header Char"/>
    <w:basedOn w:val="132"/>
    <w:link w:val="25"/>
    <w:qFormat/>
    <w:uiPriority w:val="99"/>
  </w:style>
  <w:style w:type="character" w:customStyle="1" w:styleId="146">
    <w:name w:val="Body Text 2 Char"/>
    <w:basedOn w:val="132"/>
    <w:link w:val="28"/>
    <w:qFormat/>
    <w:uiPriority w:val="99"/>
  </w:style>
  <w:style w:type="character" w:customStyle="1" w:styleId="147">
    <w:name w:val="Quote Char"/>
    <w:basedOn w:val="132"/>
    <w:qFormat/>
    <w:uiPriority w:val="29"/>
    <w:rPr>
      <w:i/>
      <w:iCs/>
      <w:color w:val="000000" w:themeColor="text1"/>
      <w14:textFill>
        <w14:solidFill>
          <w14:schemeClr w14:val="tx1"/>
        </w14:solidFill>
      </w14:textFill>
    </w:rPr>
  </w:style>
  <w:style w:type="paragraph" w:styleId="148">
    <w:name w:val="Quote"/>
    <w:basedOn w:val="1"/>
    <w:next w:val="1"/>
    <w:link w:val="174"/>
    <w:qFormat/>
    <w:uiPriority w:val="29"/>
    <w:rPr>
      <w:i/>
      <w:iCs/>
      <w:color w:val="000000" w:themeColor="text1"/>
      <w14:textFill>
        <w14:solidFill>
          <w14:schemeClr w14:val="tx1"/>
        </w14:solidFill>
      </w14:textFill>
    </w:rPr>
  </w:style>
  <w:style w:type="character" w:customStyle="1" w:styleId="149">
    <w:name w:val="Body Text 3 Char"/>
    <w:basedOn w:val="132"/>
    <w:link w:val="17"/>
    <w:qFormat/>
    <w:uiPriority w:val="99"/>
    <w:rPr>
      <w:sz w:val="16"/>
      <w:szCs w:val="16"/>
    </w:rPr>
  </w:style>
  <w:style w:type="character" w:customStyle="1" w:styleId="150">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51">
    <w:name w:val="Intense Emphasis"/>
    <w:basedOn w:val="132"/>
    <w:qFormat/>
    <w:uiPriority w:val="21"/>
    <w:rPr>
      <w:b/>
      <w:bCs/>
      <w:i/>
      <w:iCs/>
      <w:color w:val="4F81BD" w:themeColor="accent1"/>
      <w14:textFill>
        <w14:solidFill>
          <w14:schemeClr w14:val="accent1"/>
        </w14:solidFill>
      </w14:textFill>
    </w:rPr>
  </w:style>
  <w:style w:type="character" w:customStyle="1" w:styleId="152">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3">
    <w:name w:val="Subtle Reference"/>
    <w:basedOn w:val="132"/>
    <w:qFormat/>
    <w:uiPriority w:val="31"/>
    <w:rPr>
      <w:smallCaps/>
      <w:color w:val="C0504D" w:themeColor="accent2"/>
      <w:u w:val="single"/>
      <w14:textFill>
        <w14:solidFill>
          <w14:schemeClr w14:val="accent2"/>
        </w14:solidFill>
      </w14:textFill>
    </w:rPr>
  </w:style>
  <w:style w:type="character" w:customStyle="1" w:styleId="154">
    <w:name w:val="Footer Char"/>
    <w:basedOn w:val="132"/>
    <w:link w:val="24"/>
    <w:qFormat/>
    <w:uiPriority w:val="99"/>
  </w:style>
  <w:style w:type="character" w:customStyle="1" w:styleId="155">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Book Title"/>
    <w:basedOn w:val="132"/>
    <w:qFormat/>
    <w:uiPriority w:val="33"/>
    <w:rPr>
      <w:b/>
      <w:bCs/>
      <w:smallCaps/>
      <w:spacing w:val="5"/>
    </w:rPr>
  </w:style>
  <w:style w:type="paragraph" w:styleId="15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5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60">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paragraph" w:customStyle="1" w:styleId="161">
    <w:name w:val="TOC Heading"/>
    <w:basedOn w:val="3"/>
    <w:next w:val="1"/>
    <w:semiHidden/>
    <w:unhideWhenUsed/>
    <w:qFormat/>
    <w:uiPriority w:val="39"/>
    <w:pPr>
      <w:outlineLvl w:val="9"/>
    </w:pPr>
  </w:style>
  <w:style w:type="character" w:customStyle="1" w:styleId="16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63">
    <w:name w:val="List Paragraph"/>
    <w:basedOn w:val="1"/>
    <w:qFormat/>
    <w:uiPriority w:val="34"/>
    <w:pPr>
      <w:ind w:left="720"/>
      <w:contextualSpacing/>
    </w:pPr>
  </w:style>
  <w:style w:type="character" w:customStyle="1" w:styleId="164">
    <w:name w:val="Title Char1"/>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65">
    <w:name w:val="Heading 9 Char1"/>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66">
    <w:name w:val="Subtitle Char1"/>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67">
    <w:name w:val="Subtle Emphasis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8">
    <w:name w:val="Intense Reference1"/>
    <w:basedOn w:val="132"/>
    <w:qFormat/>
    <w:uiPriority w:val="32"/>
    <w:rPr>
      <w:b/>
      <w:bCs/>
      <w:smallCaps/>
      <w:color w:val="C0504D" w:themeColor="accent2"/>
      <w:spacing w:val="5"/>
      <w:u w:val="single"/>
      <w14:textFill>
        <w14:solidFill>
          <w14:schemeClr w14:val="accent2"/>
        </w14:solidFill>
      </w14:textFill>
    </w:rPr>
  </w:style>
  <w:style w:type="paragraph" w:customStyle="1" w:styleId="169">
    <w:name w:val="TOC Heading1"/>
    <w:basedOn w:val="3"/>
    <w:next w:val="1"/>
    <w:semiHidden/>
    <w:unhideWhenUsed/>
    <w:qFormat/>
    <w:uiPriority w:val="39"/>
    <w:pPr>
      <w:outlineLvl w:val="9"/>
    </w:pPr>
  </w:style>
  <w:style w:type="character" w:customStyle="1" w:styleId="170">
    <w:name w:val="Heading 5 Char1"/>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71">
    <w:name w:val="Heading 4 Char1"/>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72">
    <w:name w:val="Heading 3 Char1"/>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73">
    <w:name w:val="Intense Emphasis1"/>
    <w:basedOn w:val="132"/>
    <w:qFormat/>
    <w:uiPriority w:val="21"/>
    <w:rPr>
      <w:b/>
      <w:bCs/>
      <w:i/>
      <w:iCs/>
      <w:color w:val="4F81BD" w:themeColor="accent1"/>
      <w14:textFill>
        <w14:solidFill>
          <w14:schemeClr w14:val="accent1"/>
        </w14:solidFill>
      </w14:textFill>
    </w:rPr>
  </w:style>
  <w:style w:type="character" w:customStyle="1" w:styleId="174">
    <w:name w:val="Quote Char1"/>
    <w:basedOn w:val="132"/>
    <w:link w:val="148"/>
    <w:qFormat/>
    <w:uiPriority w:val="29"/>
    <w:rPr>
      <w:i/>
      <w:iCs/>
      <w:color w:val="000000" w:themeColor="text1"/>
      <w14:textFill>
        <w14:solidFill>
          <w14:schemeClr w14:val="tx1"/>
        </w14:solidFill>
      </w14:textFill>
    </w:rPr>
  </w:style>
  <w:style w:type="character" w:customStyle="1" w:styleId="175">
    <w:name w:val="Macro Text Char1"/>
    <w:basedOn w:val="132"/>
    <w:link w:val="2"/>
    <w:qFormat/>
    <w:uiPriority w:val="99"/>
    <w:rPr>
      <w:rFonts w:ascii="Courier" w:hAnsi="Courier"/>
      <w:sz w:val="20"/>
      <w:szCs w:val="20"/>
    </w:rPr>
  </w:style>
  <w:style w:type="character" w:customStyle="1" w:styleId="176">
    <w:name w:val="Body Text 2 Char1"/>
    <w:basedOn w:val="132"/>
    <w:link w:val="28"/>
    <w:uiPriority w:val="99"/>
  </w:style>
  <w:style w:type="character" w:customStyle="1" w:styleId="177">
    <w:name w:val="Intense Quote Char1"/>
    <w:basedOn w:val="132"/>
    <w:link w:val="136"/>
    <w:uiPriority w:val="30"/>
    <w:rPr>
      <w:b/>
      <w:bCs/>
      <w:i/>
      <w:iCs/>
      <w:color w:val="4F81BD" w:themeColor="accent1"/>
      <w14:textFill>
        <w14:solidFill>
          <w14:schemeClr w14:val="accent1"/>
        </w14:solidFill>
      </w14:textFill>
    </w:rPr>
  </w:style>
  <w:style w:type="character" w:customStyle="1" w:styleId="178">
    <w:name w:val="Heading 1 Char1"/>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79">
    <w:name w:val="Body Text 3 Char1"/>
    <w:basedOn w:val="132"/>
    <w:link w:val="17"/>
    <w:qFormat/>
    <w:uiPriority w:val="99"/>
    <w:rPr>
      <w:sz w:val="16"/>
      <w:szCs w:val="16"/>
    </w:rPr>
  </w:style>
  <w:style w:type="character" w:customStyle="1" w:styleId="180">
    <w:name w:val="Heading 8 Char1"/>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81">
    <w:name w:val="Heading 7 Char1"/>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82">
    <w:name w:val="Book Title1"/>
    <w:basedOn w:val="132"/>
    <w:qFormat/>
    <w:uiPriority w:val="33"/>
    <w:rPr>
      <w:b/>
      <w:bCs/>
      <w:smallCaps/>
      <w:spacing w:val="5"/>
    </w:rPr>
  </w:style>
  <w:style w:type="character" w:customStyle="1" w:styleId="183">
    <w:name w:val="Subtle Reference1"/>
    <w:basedOn w:val="132"/>
    <w:qFormat/>
    <w:uiPriority w:val="31"/>
    <w:rPr>
      <w:smallCaps/>
      <w:color w:val="C0504D" w:themeColor="accent2"/>
      <w:u w:val="single"/>
      <w14:textFill>
        <w14:solidFill>
          <w14:schemeClr w14:val="accent2"/>
        </w14:solidFill>
      </w14:textFill>
    </w:rPr>
  </w:style>
  <w:style w:type="character" w:customStyle="1" w:styleId="184">
    <w:name w:val="Body Text Char1"/>
    <w:basedOn w:val="132"/>
    <w:link w:val="19"/>
    <w:qFormat/>
    <w:uiPriority w:val="99"/>
  </w:style>
  <w:style w:type="character" w:customStyle="1" w:styleId="185">
    <w:name w:val="Heading 6 Char1"/>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86">
    <w:name w:val="Heading 2 Char1"/>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12</Pages>
  <Words>4087</Words>
  <Characters>4338</Characters>
  <TotalTime>9</TotalTime>
  <ScaleCrop>false</ScaleCrop>
  <LinksUpToDate>false</LinksUpToDate>
  <CharactersWithSpaces>4383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2026-08-19T14:52:00Z</dcterms:created>
  <dc:creator>张立缘</dc:creator>
  <cp:lastModifiedBy> Jump Leo</cp:lastModifiedBy>
  <dcterms:modified xsi:type="dcterms:W3CDTF">2026-10-05T08:06:17Z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eyJoZGlkIjoiZDY0NzFmYmU3NzA5MDczZGFlOGMwYTQzYWNiZTJkM2IiLCJ1c2VySWQiOiIzMDQ5Mjc2MzEifQ==</vt:lpwstr>
  </property>
  <property fmtid="{D5CDD505-2E9C-101B-9397-08002B2CF9AE}" pid="3" name="KSOProductBuildVer">
    <vt:lpwstr>2052-12.1.0.28505</vt:lpwstr>
  </property>
  <property fmtid="{D5CDD505-2E9C-101B-9397-08002B2CF9AE}" pid="4" name="ICV">
    <vt:lpwstr>0D630F444F2347C59D48B31FAA3363B9_12</vt:lpwstr>
  </property>
</Properties>
</file>