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77316">
      <w:pPr>
        <w:pStyle w:val="128"/>
        <w:framePr w:wrap="around"/>
        <w:rPr>
          <w:rFonts w:hAnsi="黑体"/>
        </w:rPr>
      </w:pPr>
      <w:r>
        <w:rPr>
          <w:rFonts w:hAnsi="黑体"/>
        </w:rPr>
        <w:t>ICS 03.080.99</w:t>
      </w:r>
      <w:r>
        <w:rPr>
          <w:rFonts w:hint="eastAsia" w:hAnsi="黑体"/>
        </w:rPr>
        <w:t xml:space="preserve"> </w:t>
      </w:r>
      <w:r>
        <w:rPr>
          <w:rFonts w:hAnsi="黑体"/>
        </w:rPr>
        <w:t> </w:t>
      </w:r>
    </w:p>
    <w:p w14:paraId="229DA71D">
      <w:pPr>
        <w:pStyle w:val="128"/>
        <w:framePr w:wrap="around"/>
        <w:rPr>
          <w:rFonts w:hAnsi="黑体"/>
        </w:rPr>
      </w:pPr>
      <w:r>
        <w:rPr>
          <w:rFonts w:hAnsi="黑体"/>
        </w:rPr>
        <w:t xml:space="preserve">CCS A 16 </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921"/>
      </w:tblGrid>
      <w:tr w14:paraId="23B4F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8" w:type="dxa"/>
            <w:tcBorders>
              <w:top w:val="nil"/>
              <w:left w:val="nil"/>
              <w:bottom w:val="nil"/>
              <w:right w:val="nil"/>
            </w:tcBorders>
            <w:shd w:val="clear" w:color="auto" w:fill="auto"/>
          </w:tcPr>
          <w:p w14:paraId="3EC972D1">
            <w:pPr>
              <w:pStyle w:val="128"/>
              <w:framePr w:wrap="around"/>
            </w:pPr>
          </w:p>
        </w:tc>
      </w:tr>
    </w:tbl>
    <w:p w14:paraId="4E9299DB">
      <w:pPr>
        <w:pStyle w:val="72"/>
        <w:framePr w:wrap="around"/>
        <w:rPr>
          <w:rFonts w:hint="default" w:hAnsi="黑体" w:eastAsia="黑体"/>
          <w:lang w:val="en-US" w:eastAsia="zh-CN"/>
        </w:rPr>
      </w:pPr>
      <w:bookmarkStart w:id="0" w:name="_Hlk46753871"/>
      <w:r>
        <w:rPr>
          <w:rFonts w:hAnsi="黑体"/>
        </w:rPr>
        <w:t>T/</w:t>
      </w:r>
      <w:r>
        <w:rPr>
          <w:rFonts w:hint="eastAsia" w:hAnsi="黑体"/>
        </w:rPr>
        <w:t>BAS</w:t>
      </w:r>
      <w:r>
        <w:rPr>
          <w:rFonts w:hAnsi="黑体"/>
        </w:rPr>
        <w:t xml:space="preserve"> </w:t>
      </w:r>
      <w:r>
        <w:rPr>
          <w:rFonts w:hint="eastAsia" w:hAnsi="黑体"/>
          <w:lang w:val="en-US" w:eastAsia="zh-CN"/>
        </w:rPr>
        <w:t>XXX</w:t>
      </w:r>
      <w:r>
        <w:rPr>
          <w:rFonts w:hAnsi="黑体"/>
        </w:rPr>
        <w:t>-</w:t>
      </w:r>
      <w:r>
        <w:rPr>
          <w:rFonts w:hint="eastAsia" w:hAnsi="黑体"/>
          <w:lang w:val="en-US" w:eastAsia="zh-CN"/>
        </w:rPr>
        <w:t>2026</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30"/>
      </w:tblGrid>
      <w:tr w14:paraId="5D71D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130" w:type="dxa"/>
            <w:tcBorders>
              <w:top w:val="nil"/>
              <w:left w:val="nil"/>
              <w:bottom w:val="nil"/>
              <w:right w:val="nil"/>
            </w:tcBorders>
            <w:shd w:val="clear" w:color="auto" w:fill="auto"/>
          </w:tcPr>
          <w:p w14:paraId="62420AF6">
            <w:pPr>
              <w:pStyle w:val="94"/>
              <w:framePr w:wrap="around"/>
            </w:pPr>
            <w:r>
              <mc:AlternateContent>
                <mc:Choice Requires="wps">
                  <w:drawing>
                    <wp:anchor distT="0" distB="0" distL="114300" distR="114300" simplePos="0" relativeHeight="251663360" behindDoc="1" locked="0" layoutInCell="1" allowOverlap="1">
                      <wp:simplePos x="0" y="0"/>
                      <wp:positionH relativeFrom="column">
                        <wp:posOffset>4665980</wp:posOffset>
                      </wp:positionH>
                      <wp:positionV relativeFrom="paragraph">
                        <wp:posOffset>34290</wp:posOffset>
                      </wp:positionV>
                      <wp:extent cx="1143000" cy="228600"/>
                      <wp:effectExtent l="0" t="0" r="0" b="0"/>
                      <wp:wrapNone/>
                      <wp:docPr id="5" name="DT"/>
                      <wp:cNvGraphicFramePr/>
                      <a:graphic xmlns:a="http://schemas.openxmlformats.org/drawingml/2006/main">
                        <a:graphicData uri="http://schemas.microsoft.com/office/word/2010/wordprocessingShape">
                          <wps:wsp>
                            <wps:cNvSpPr/>
                            <wps:spPr>
                              <a:xfrm>
                                <a:off x="0" y="0"/>
                                <a:ext cx="1143000" cy="228600"/>
                              </a:xfrm>
                              <a:prstGeom prst="rect">
                                <a:avLst/>
                              </a:prstGeom>
                              <a:solidFill>
                                <a:srgbClr val="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DT" o:spid="_x0000_s1026" o:spt="1" style="position:absolute;left:0pt;margin-left:367.4pt;margin-top:2.7pt;height:18pt;width:90pt;z-index:-251653120;v-text-anchor:middle;mso-width-relative:page;mso-height-relative:page;" fillcolor="#FFFFFF" filled="t" stroked="f" coordsize="21600,21600" o:gfxdata="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xZ7k/9MAAAAIAQAADwAAAAAA&#10;AAABACAAAAAiAAAAZHJzL2Rvd25yZXYueG1sUEsBAhQAFAAAAAgAh07iQGWS4spRAgAAvAQAAA4A&#10;AAAAAAAAAQAgAAAAIgEAAGRycy9lMm9Eb2MueG1sUEsFBgAAAAAGAAYAWQEAAOUFAAAAAA==&#10;">
                      <v:fill on="t" focussize="0,0"/>
                      <v:stroke on="f" weight="2pt"/>
                      <v:imagedata o:title=""/>
                      <o:lock v:ext="edit" aspectratio="f"/>
                    </v:rect>
                  </w:pict>
                </mc:Fallback>
              </mc:AlternateContent>
            </w:r>
          </w:p>
        </w:tc>
      </w:tr>
    </w:tbl>
    <w:p w14:paraId="235286F7">
      <w:pPr>
        <w:pStyle w:val="72"/>
        <w:framePr w:wrap="around"/>
        <w:rPr>
          <w:rFonts w:hAnsi="黑体"/>
        </w:rPr>
      </w:pPr>
    </w:p>
    <w:p w14:paraId="40CE7C4D">
      <w:pPr>
        <w:pStyle w:val="72"/>
        <w:framePr w:wrap="around"/>
        <w:rPr>
          <w:rFonts w:hAnsi="黑体"/>
        </w:rPr>
      </w:pPr>
    </w:p>
    <w:bookmarkEnd w:id="0"/>
    <w:p w14:paraId="69437AC5">
      <w:pPr>
        <w:pStyle w:val="48"/>
        <w:framePr w:wrap="around"/>
        <w:rPr>
          <w:rFonts w:hint="default" w:eastAsia="黑体"/>
          <w:sz w:val="48"/>
          <w:szCs w:val="18"/>
          <w:lang w:val="en-US" w:eastAsia="zh-CN"/>
        </w:rPr>
      </w:pPr>
      <w:r>
        <w:rPr>
          <w:rFonts w:hint="eastAsia"/>
          <w:sz w:val="48"/>
          <w:szCs w:val="18"/>
          <w:lang w:val="en-US" w:eastAsia="zh-CN"/>
        </w:rPr>
        <w:t>社区居家适老智能化改造指南</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29"/>
      </w:tblGrid>
      <w:tr w14:paraId="1793D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9" w:type="dxa"/>
            <w:tcBorders>
              <w:top w:val="nil"/>
              <w:left w:val="nil"/>
              <w:bottom w:val="nil"/>
              <w:right w:val="nil"/>
            </w:tcBorders>
            <w:shd w:val="clear" w:color="auto" w:fill="auto"/>
          </w:tcPr>
          <w:p w14:paraId="467DC8A2">
            <w:pPr>
              <w:pStyle w:val="45"/>
              <w:framePr w:wrap="around"/>
              <w:rPr>
                <w:rFonts w:ascii="Times New Roman" w:hAnsi="Times New Roman"/>
                <w:sz w:val="24"/>
                <w:szCs w:val="24"/>
              </w:rPr>
            </w:pPr>
            <w:r>
              <w:rPr>
                <w:rFonts w:ascii="黑体" w:hAnsi="黑体" w:eastAsia="黑体"/>
                <w:sz w:val="22"/>
                <w:szCs w:val="24"/>
              </w:rPr>
              <w:t xml:space="preserve"> </w:t>
            </w:r>
            <w:r>
              <w:rPr>
                <w:rFonts w:ascii="Times New Roman" w:hAnsi="Times New Roman"/>
                <w:sz w:val="24"/>
                <w:szCs w:val="24"/>
              </w:rPr>
              <w:t>Guidelines for intelligent renovation of community</w:t>
            </w:r>
            <w:r>
              <w:rPr>
                <w:rFonts w:hint="eastAsia" w:ascii="Times New Roman" w:hAnsi="Times New Roman"/>
                <w:sz w:val="24"/>
                <w:szCs w:val="24"/>
                <w:lang w:val="en-US" w:eastAsia="zh-CN"/>
              </w:rPr>
              <w:t xml:space="preserve"> </w:t>
            </w:r>
            <w:r>
              <w:rPr>
                <w:rFonts w:ascii="Times New Roman" w:hAnsi="Times New Roman"/>
                <w:sz w:val="24"/>
                <w:szCs w:val="24"/>
              </w:rPr>
              <w:t>and home-based elderly care environment</w:t>
            </w:r>
          </w:p>
          <w:p w14:paraId="407886D7">
            <w:pPr>
              <w:pStyle w:val="45"/>
              <w:framePr w:wrap="around"/>
              <w:rPr>
                <w:rFonts w:ascii="Times New Roman" w:hAnsi="Times New Roman"/>
                <w:sz w:val="24"/>
                <w:szCs w:val="24"/>
              </w:rPr>
            </w:pPr>
          </w:p>
          <w:p w14:paraId="1FDEE285">
            <w:pPr>
              <w:pStyle w:val="45"/>
              <w:framePr w:wrap="around"/>
              <w:rPr>
                <w:rFonts w:ascii="Times New Roman" w:hAnsi="Times New Roman"/>
                <w:sz w:val="24"/>
                <w:szCs w:val="24"/>
              </w:rPr>
            </w:pPr>
          </w:p>
        </w:tc>
      </w:tr>
      <w:tr w14:paraId="25193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29" w:type="dxa"/>
            <w:tcBorders>
              <w:top w:val="nil"/>
              <w:left w:val="nil"/>
              <w:bottom w:val="nil"/>
              <w:right w:val="nil"/>
            </w:tcBorders>
            <w:shd w:val="clear" w:color="auto" w:fill="auto"/>
          </w:tcPr>
          <w:p w14:paraId="2FB319A9">
            <w:pPr>
              <w:pStyle w:val="96"/>
              <w:framePr w:wrap="around"/>
              <w:jc w:val="center"/>
              <w:rPr>
                <w:rFonts w:hint="default" w:eastAsia="宋体"/>
                <w:lang w:val="en-US" w:eastAsia="zh-CN"/>
              </w:rPr>
            </w:pPr>
            <w:r>
              <w:rPr>
                <w:rFonts w:hint="eastAsia"/>
                <w:sz w:val="28"/>
                <w:szCs w:val="40"/>
                <w:lang w:val="en-US" w:eastAsia="zh-CN"/>
              </w:rPr>
              <w:t>（征求意见稿）</w:t>
            </w:r>
          </w:p>
        </w:tc>
      </w:tr>
    </w:tbl>
    <w:p w14:paraId="432BCD7F">
      <w:pPr>
        <w:pStyle w:val="134"/>
        <w:framePr w:wrap="around"/>
      </w:pPr>
      <w:r>
        <w:rPr>
          <w:rFonts w:hint="eastAsia" w:ascii="黑体"/>
          <w:lang w:val="en-US" w:eastAsia="zh-CN"/>
        </w:rPr>
        <w:t>XXXX</w:t>
      </w:r>
      <w:r>
        <w:rPr>
          <w:rFonts w:ascii="黑体"/>
        </w:rPr>
        <w:t>-</w:t>
      </w:r>
      <w:r>
        <w:rPr>
          <w:rFonts w:hint="eastAsia" w:ascii="黑体"/>
          <w:lang w:val="en-US" w:eastAsia="zh-CN"/>
        </w:rPr>
        <w:t>XX</w:t>
      </w:r>
      <w:r>
        <w:rPr>
          <w:rFonts w:ascii="黑体"/>
        </w:rPr>
        <w:t>-</w:t>
      </w:r>
      <w:r>
        <w:rPr>
          <w:rFonts w:hint="eastAsia" w:ascii="黑体"/>
          <w:lang w:val="en-US" w:eastAsia="zh-CN"/>
        </w:rPr>
        <w:t>XX</w:t>
      </w:r>
      <w:r>
        <w:rPr>
          <w:rFonts w:hint="eastAsia"/>
        </w:rPr>
        <w:t>发布</w:t>
      </w:r>
      <w:r>
        <w:rPr>
          <w:rFonts w:hint="eastAsi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2339340</wp:posOffset>
                </wp:positionV>
                <wp:extent cx="6120130" cy="0"/>
                <wp:effectExtent l="0" t="0" r="33655" b="19050"/>
                <wp:wrapNone/>
                <wp:docPr id="2" name="直接连接符 2"/>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184.2pt;height:0pt;width:481.9pt;z-index:251660288;mso-width-relative:page;mso-height-relative:page;" filled="f" stroked="t" coordsize="21600,21600" o:gfxdata="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N3ymz1QAAAAgBAAAPAAAAAAAA&#10;AAEAIAAAACIAAABkcnMvZG93bnJldi54bWxQSwECFAAUAAAACACHTuJARcPzM9wBAACoAwAADgAA&#10;AAAAAAABACAAAAAkAQAAZHJzL2Uyb0RvYy54bWxQSwUGAAAAAAYABgBZAQAAcgUAAAAA&#10;">
                <v:fill on="f" focussize="0,0"/>
                <v:stroke color="#000000" joinstyle="round"/>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8891905</wp:posOffset>
                </wp:positionV>
                <wp:extent cx="6120130" cy="0"/>
                <wp:effectExtent l="0" t="0" r="33655" b="19050"/>
                <wp:wrapNone/>
                <wp:docPr id="1" name="直接连接符 1"/>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700.15pt;height:0pt;width:481.9pt;z-index:251659264;mso-width-relative:page;mso-height-relative:page;" filled="f" stroked="t" coordsize="21600,21600" o:gfxdata="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Dr9Go1QAAAAoBAAAPAAAAAAAA&#10;AAEAIAAAACIAAABkcnMvZG93bnJldi54bWxQSwECFAAUAAAACACHTuJAY1jPcdwBAACoAwAADgAA&#10;AAAAAAABACAAAAAkAQAAZHJzL2Uyb0RvYy54bWxQSwUGAAAAAAYABgBZAQAAcgUAAAAA&#10;">
                <v:fill on="f" focussize="0,0"/>
                <v:stroke color="#000000" joinstyle="round"/>
                <v:imagedata o:title=""/>
                <o:lock v:ext="edit" aspectratio="f"/>
              </v:line>
            </w:pict>
          </mc:Fallback>
        </mc:AlternateContent>
      </w:r>
    </w:p>
    <w:p w14:paraId="713BA38D">
      <w:pPr>
        <w:pStyle w:val="135"/>
        <w:framePr w:wrap="around"/>
      </w:pPr>
      <w:r>
        <w:rPr>
          <w:rFonts w:hint="eastAsia" w:ascii="黑体"/>
          <w:lang w:val="en-US" w:eastAsia="zh-CN"/>
        </w:rPr>
        <w:t>XXXX</w:t>
      </w:r>
      <w:r>
        <w:rPr>
          <w:rFonts w:ascii="黑体"/>
        </w:rPr>
        <w:t>-</w:t>
      </w:r>
      <w:r>
        <w:rPr>
          <w:rFonts w:hint="eastAsia" w:ascii="黑体"/>
          <w:lang w:val="en-US" w:eastAsia="zh-CN"/>
        </w:rPr>
        <w:t>XX</w:t>
      </w:r>
      <w:r>
        <w:rPr>
          <w:rFonts w:ascii="黑体"/>
        </w:rPr>
        <w:t>-</w:t>
      </w:r>
      <w:r>
        <w:rPr>
          <w:rFonts w:hint="eastAsia" w:ascii="黑体"/>
          <w:lang w:val="en-US" w:eastAsia="zh-CN"/>
        </w:rPr>
        <w:t>XX</w:t>
      </w:r>
      <w:r>
        <w:rPr>
          <w:rFonts w:hint="eastAsia"/>
        </w:rPr>
        <w:t>实施</w:t>
      </w:r>
    </w:p>
    <w:p w14:paraId="503F57F8">
      <w:pPr>
        <w:pStyle w:val="118"/>
        <w:framePr w:wrap="around" w:x="2143" w:y="15028"/>
        <w:rPr>
          <w:rStyle w:val="91"/>
          <w:rFonts w:hint="default" w:eastAsia="黑体"/>
          <w:sz w:val="32"/>
          <w:szCs w:val="32"/>
          <w:lang w:val="en-US" w:eastAsia="zh-CN"/>
        </w:rPr>
      </w:pPr>
      <w:bookmarkStart w:id="1" w:name="_Hlk59786002"/>
      <w:r>
        <w:rPr>
          <w:rStyle w:val="91"/>
          <w:sz w:val="32"/>
          <w:szCs w:val="32"/>
        </w:rPr>
        <w:t xml:space="preserve"> </w:t>
      </w:r>
      <w:r>
        <w:rPr>
          <w:rStyle w:val="91"/>
          <w:rFonts w:hint="eastAsia"/>
          <w:sz w:val="32"/>
          <w:szCs w:val="32"/>
        </w:rPr>
        <w:t>北京标准化协会</w:t>
      </w:r>
      <w:r>
        <w:rPr>
          <w:rStyle w:val="91"/>
          <w:rFonts w:hint="eastAsia"/>
          <w:sz w:val="32"/>
          <w:szCs w:val="32"/>
          <w:lang w:val="en-US" w:eastAsia="zh-CN"/>
        </w:rPr>
        <w:t xml:space="preserve"> </w:t>
      </w:r>
      <w:r>
        <w:rPr>
          <w:rStyle w:val="91"/>
          <w:rFonts w:hint="eastAsia"/>
          <w:sz w:val="32"/>
          <w:szCs w:val="32"/>
        </w:rPr>
        <w:t>发布</w:t>
      </w:r>
    </w:p>
    <w:bookmarkEnd w:id="1"/>
    <w:p w14:paraId="6D3032B8">
      <w:pPr>
        <w:pStyle w:val="117"/>
        <w:framePr w:w="6229" w:wrap="around" w:x="3060" w:y="2000"/>
        <w:rPr>
          <w:rFonts w:ascii="Times New Roman" w:hAnsi="Times New Roman"/>
        </w:rPr>
      </w:pPr>
      <w:bookmarkStart w:id="2" w:name="_Hlk46753822"/>
      <w:r>
        <w:rPr>
          <w:sz w:val="72"/>
          <w:szCs w:val="72"/>
        </w:rPr>
        <w:t>团体标</w:t>
      </w:r>
      <w:r>
        <w:rPr>
          <w:rFonts w:ascii="Times New Roman" w:hAnsi="Times New Roman"/>
          <w:sz w:val="72"/>
          <w:szCs w:val="72"/>
        </w:rPr>
        <w:t>准</w:t>
      </w:r>
    </w:p>
    <w:bookmarkEnd w:id="2"/>
    <w:p w14:paraId="554E6C3E">
      <w:pPr>
        <w:pStyle w:val="24"/>
        <w:sectPr>
          <w:headerReference r:id="rId3" w:type="even"/>
          <w:footerReference r:id="rId4" w:type="even"/>
          <w:pgSz w:w="11906" w:h="16838"/>
          <w:pgMar w:top="567" w:right="1558" w:bottom="1134" w:left="1417" w:header="0" w:footer="0" w:gutter="0"/>
          <w:pgNumType w:start="1"/>
          <w:cols w:space="425" w:num="1"/>
          <w:docGrid w:type="lines" w:linePitch="312" w:charSpace="0"/>
        </w:sectPr>
      </w:pPr>
      <w:r>
        <w:rPr>
          <w:rFonts w:hint="eastAsia"/>
        </w:rPr>
        <mc:AlternateContent>
          <mc:Choice Requires="wps">
            <w:drawing>
              <wp:anchor distT="0" distB="0" distL="114300" distR="114300" simplePos="0" relativeHeight="251664384" behindDoc="1" locked="0" layoutInCell="1" allowOverlap="1">
                <wp:simplePos x="0" y="0"/>
                <wp:positionH relativeFrom="column">
                  <wp:posOffset>-66675</wp:posOffset>
                </wp:positionH>
                <wp:positionV relativeFrom="paragraph">
                  <wp:posOffset>396240</wp:posOffset>
                </wp:positionV>
                <wp:extent cx="866775" cy="198120"/>
                <wp:effectExtent l="0" t="0" r="9525" b="0"/>
                <wp:wrapNone/>
                <wp:docPr id="8" name="BAH"/>
                <wp:cNvGraphicFramePr/>
                <a:graphic xmlns:a="http://schemas.openxmlformats.org/drawingml/2006/main">
                  <a:graphicData uri="http://schemas.microsoft.com/office/word/2010/wordprocessingShape">
                    <wps:wsp>
                      <wps:cNvSpPr/>
                      <wps:spPr>
                        <a:xfrm>
                          <a:off x="0" y="0"/>
                          <a:ext cx="866775" cy="198120"/>
                        </a:xfrm>
                        <a:prstGeom prst="rect">
                          <a:avLst/>
                        </a:prstGeom>
                        <a:solidFill>
                          <a:srgbClr val="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BAH" o:spid="_x0000_s1026" o:spt="1" style="position:absolute;left:0pt;margin-left:-5.25pt;margin-top:31.2pt;height:15.6pt;width:68.25pt;z-index:-251652096;v-text-anchor:middle;mso-width-relative:page;mso-height-relative:page;" fillcolor="#FFFFFF" filled="t" stroked="f" coordsize="21600,21600" o:gfxdata="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tabbHNUAAAAJAQAA&#10;DwAAAAAAAAABACAAAAAiAAAAZHJzL2Rvd25yZXYueG1sUEsBAhQAFAAAAAgAh07iQL8IK5ZVAgAA&#10;vAQAAA4AAAAAAAAAAQAgAAAAJAEAAGRycy9lMm9Eb2MueG1sUEsFBgAAAAAGAAYAWQEAAOsFAAAA&#10;AA==&#10;">
                <v:fill on="t" focussize="0,0"/>
                <v:stroke on="f" weight="2pt"/>
                <v:imagedata o:title=""/>
                <o:lock v:ext="edit" aspectratio="f"/>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2339340</wp:posOffset>
                </wp:positionV>
                <wp:extent cx="6120130" cy="0"/>
                <wp:effectExtent l="0" t="0" r="33655" b="19050"/>
                <wp:wrapNone/>
                <wp:docPr id="4" name="直接连接符 4"/>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184.2pt;height:0pt;width:481.9pt;z-index:251662336;mso-width-relative:page;mso-height-relative:page;" filled="f" stroked="t" coordsize="21600,21600" o:gfxdata="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N3ymz1QAAAAgBAAAPAAAAAAAA&#10;AAEAIAAAACIAAABkcnMvZG93bnJldi54bWxQSwECFAAUAAAACACHTuJACfWKt9wBAACoAwAADgAA&#10;AAAAAAABACAAAAAkAQAAZHJzL2Uyb0RvYy54bWxQSwUGAAAAAAYABgBZAQAAcgUAAAAA&#10;">
                <v:fill on="f" focussize="0,0"/>
                <v:stroke color="#000000" joinstyle="round"/>
                <v:imagedata o:title=""/>
                <o:lock v:ext="edit" aspectratio="f"/>
              </v:line>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8891905</wp:posOffset>
                </wp:positionV>
                <wp:extent cx="6120130" cy="0"/>
                <wp:effectExtent l="0" t="0" r="33655" b="19050"/>
                <wp:wrapNone/>
                <wp:docPr id="3" name="直接连接符 3"/>
                <wp:cNvGraphicFramePr/>
                <a:graphic xmlns:a="http://schemas.openxmlformats.org/drawingml/2006/main">
                  <a:graphicData uri="http://schemas.microsoft.com/office/word/2010/wordprocessingShape">
                    <wps:wsp>
                      <wps:cNvCnPr/>
                      <wps:spPr>
                        <a:xfrm>
                          <a:off x="0" y="0"/>
                          <a:ext cx="6120000" cy="0"/>
                        </a:xfrm>
                        <a:prstGeom prst="line">
                          <a:avLst/>
                        </a:prstGeom>
                        <a:noFill/>
                        <a:ln w="9525" cap="flat" cmpd="sng" algn="ctr">
                          <a:solidFill>
                            <a:srgbClr val="000000"/>
                          </a:solidFill>
                          <a:prstDash val="solid"/>
                        </a:ln>
                        <a:effectLst/>
                      </wps:spPr>
                      <wps:bodyPr/>
                    </wps:wsp>
                  </a:graphicData>
                </a:graphic>
              </wp:anchor>
            </w:drawing>
          </mc:Choice>
          <mc:Fallback>
            <w:pict>
              <v:line id="_x0000_s1026" o:spid="_x0000_s1026" o:spt="20" style="position:absolute;left:0pt;margin-left:0pt;margin-top:700.15pt;height:0pt;width:481.9pt;z-index:251661312;mso-width-relative:page;mso-height-relative:page;" filled="f" stroked="t" coordsize="21600,21600" o:gfxdata="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Dr9Go1QAAAAoBAAAPAAAAAAAA&#10;AAEAIAAAACIAAABkcnMvZG93bnJldi54bWxQSwECFAAUAAAACACHTuJAp7XnDdwBAACoAwAADgAA&#10;AAAAAAABACAAAAAkAQAAZHJzL2Uyb0RvYy54bWxQSwUGAAAAAAYABgBZAQAAcgUAAAAA&#10;">
                <v:fill on="f" focussize="0,0"/>
                <v:stroke color="#000000" joinstyle="round"/>
                <v:imagedata o:title=""/>
                <o:lock v:ext="edit" aspectratio="f"/>
              </v:line>
            </w:pict>
          </mc:Fallback>
        </mc:AlternateContent>
      </w:r>
    </w:p>
    <w:p w14:paraId="1593710C">
      <w:pPr>
        <w:pStyle w:val="55"/>
        <w:pageBreakBefore/>
        <w:tabs>
          <w:tab w:val="left" w:pos="726"/>
          <w:tab w:val="center" w:pos="4677"/>
          <w:tab w:val="left" w:pos="8302"/>
          <w:tab w:val="right" w:pos="9354"/>
        </w:tabs>
        <w:jc w:val="center"/>
      </w:pPr>
      <w:bookmarkStart w:id="3" w:name="_Toc28735"/>
      <w:bookmarkStart w:id="4" w:name="_Toc30115"/>
      <w:bookmarkStart w:id="5" w:name="_Toc3208"/>
      <w:bookmarkStart w:id="6" w:name="_Toc2018"/>
      <w:r>
        <w:rPr>
          <w:b/>
          <w:bCs/>
        </w:rPr>
        <w:t>目  次</w:t>
      </w:r>
      <w:bookmarkEnd w:id="3"/>
      <w:bookmarkEnd w:id="4"/>
      <w:bookmarkEnd w:id="5"/>
      <w:bookmarkEnd w:id="6"/>
    </w:p>
    <w:sdt>
      <w:sdtPr>
        <w:rPr>
          <w:rFonts w:ascii="宋体" w:hAnsi="宋体" w:eastAsia="宋体" w:cs="Times New Roman"/>
          <w:kern w:val="2"/>
          <w:sz w:val="21"/>
          <w:szCs w:val="24"/>
          <w:lang w:val="en-US" w:eastAsia="zh-CN" w:bidi="ar-SA"/>
        </w:rPr>
        <w:id w:val="147457790"/>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232FF5E6">
          <w:pPr>
            <w:spacing w:before="0" w:beforeLines="0" w:after="0" w:afterLines="0" w:line="240" w:lineRule="auto"/>
            <w:ind w:left="0" w:leftChars="0" w:right="0" w:rightChars="0" w:firstLine="0" w:firstLineChars="0"/>
            <w:jc w:val="center"/>
          </w:pPr>
        </w:p>
        <w:p w14:paraId="0A83D614">
          <w:pPr>
            <w:pStyle w:val="20"/>
            <w:tabs>
              <w:tab w:val="right" w:leader="dot" w:pos="9072"/>
              <w:tab w:val="clear" w:pos="9241"/>
            </w:tabs>
          </w:pPr>
          <w:r>
            <w:fldChar w:fldCharType="begin"/>
          </w:r>
          <w:r>
            <w:instrText xml:space="preserve">TOC \o "1-2" \h \u </w:instrText>
          </w:r>
          <w:r>
            <w:fldChar w:fldCharType="separate"/>
          </w:r>
          <w:r>
            <w:fldChar w:fldCharType="begin"/>
          </w:r>
          <w:r>
            <w:instrText xml:space="preserve"> HYPERLINK \l _Toc3917 </w:instrText>
          </w:r>
          <w:r>
            <w:fldChar w:fldCharType="separate"/>
          </w:r>
          <w:r>
            <w:t>前言</w:t>
          </w:r>
          <w:r>
            <w:tab/>
          </w:r>
          <w:r>
            <w:fldChar w:fldCharType="begin"/>
          </w:r>
          <w:r>
            <w:instrText xml:space="preserve"> PAGEREF _Toc3917 \h </w:instrText>
          </w:r>
          <w:r>
            <w:fldChar w:fldCharType="separate"/>
          </w:r>
          <w:r>
            <w:t>II</w:t>
          </w:r>
          <w:r>
            <w:fldChar w:fldCharType="end"/>
          </w:r>
          <w:r>
            <w:fldChar w:fldCharType="end"/>
          </w:r>
        </w:p>
        <w:p w14:paraId="79C69455">
          <w:pPr>
            <w:pStyle w:val="29"/>
            <w:tabs>
              <w:tab w:val="right" w:leader="dot" w:pos="9072"/>
              <w:tab w:val="clear" w:pos="9241"/>
            </w:tabs>
          </w:pPr>
          <w:r>
            <w:fldChar w:fldCharType="begin"/>
          </w:r>
          <w:r>
            <w:instrText xml:space="preserve"> HYPERLINK \l _Toc7987 </w:instrText>
          </w:r>
          <w:r>
            <w:fldChar w:fldCharType="separate"/>
          </w:r>
          <w:r>
            <w:rPr>
              <w:rFonts w:hint="eastAsia" w:ascii="黑体" w:hAnsi="Times New Roman" w:eastAsia="黑体"/>
              <w:i w:val="0"/>
              <w:szCs w:val="21"/>
            </w:rPr>
            <w:t xml:space="preserve">1 </w:t>
          </w:r>
          <w:r>
            <w:t>范围</w:t>
          </w:r>
          <w:r>
            <w:tab/>
          </w:r>
          <w:r>
            <w:fldChar w:fldCharType="begin"/>
          </w:r>
          <w:r>
            <w:instrText xml:space="preserve"> PAGEREF _Toc7987 \h </w:instrText>
          </w:r>
          <w:r>
            <w:fldChar w:fldCharType="separate"/>
          </w:r>
          <w:r>
            <w:t>3</w:t>
          </w:r>
          <w:r>
            <w:fldChar w:fldCharType="end"/>
          </w:r>
          <w:r>
            <w:fldChar w:fldCharType="end"/>
          </w:r>
        </w:p>
        <w:p w14:paraId="2308C50B">
          <w:pPr>
            <w:pStyle w:val="29"/>
            <w:tabs>
              <w:tab w:val="right" w:leader="dot" w:pos="9072"/>
              <w:tab w:val="clear" w:pos="9241"/>
            </w:tabs>
          </w:pPr>
          <w:r>
            <w:fldChar w:fldCharType="begin"/>
          </w:r>
          <w:r>
            <w:instrText xml:space="preserve"> HYPERLINK \l _Toc2114 </w:instrText>
          </w:r>
          <w:r>
            <w:fldChar w:fldCharType="separate"/>
          </w:r>
          <w:r>
            <w:rPr>
              <w:rFonts w:hint="eastAsia" w:ascii="黑体" w:hAnsi="Times New Roman" w:eastAsia="黑体"/>
              <w:i w:val="0"/>
              <w:szCs w:val="21"/>
            </w:rPr>
            <w:t xml:space="preserve">2 </w:t>
          </w:r>
          <w:r>
            <w:t>规范性引用文件</w:t>
          </w:r>
          <w:r>
            <w:tab/>
          </w:r>
          <w:r>
            <w:fldChar w:fldCharType="begin"/>
          </w:r>
          <w:r>
            <w:instrText xml:space="preserve"> PAGEREF _Toc2114 \h </w:instrText>
          </w:r>
          <w:r>
            <w:fldChar w:fldCharType="separate"/>
          </w:r>
          <w:r>
            <w:t>3</w:t>
          </w:r>
          <w:r>
            <w:fldChar w:fldCharType="end"/>
          </w:r>
          <w:r>
            <w:fldChar w:fldCharType="end"/>
          </w:r>
        </w:p>
        <w:p w14:paraId="561D07DE">
          <w:pPr>
            <w:pStyle w:val="29"/>
            <w:tabs>
              <w:tab w:val="right" w:leader="dot" w:pos="9072"/>
              <w:tab w:val="clear" w:pos="9241"/>
            </w:tabs>
          </w:pPr>
          <w:r>
            <w:fldChar w:fldCharType="begin"/>
          </w:r>
          <w:r>
            <w:instrText xml:space="preserve"> HYPERLINK \l _Toc13444 </w:instrText>
          </w:r>
          <w:r>
            <w:fldChar w:fldCharType="separate"/>
          </w:r>
          <w:r>
            <w:rPr>
              <w:rFonts w:hint="eastAsia" w:ascii="黑体" w:hAnsi="Times New Roman" w:eastAsia="黑体"/>
              <w:i w:val="0"/>
              <w:szCs w:val="21"/>
            </w:rPr>
            <w:t xml:space="preserve">3 </w:t>
          </w:r>
          <w:r>
            <w:t>术语和定义</w:t>
          </w:r>
          <w:r>
            <w:tab/>
          </w:r>
          <w:r>
            <w:fldChar w:fldCharType="begin"/>
          </w:r>
          <w:r>
            <w:instrText xml:space="preserve"> PAGEREF _Toc13444 \h </w:instrText>
          </w:r>
          <w:r>
            <w:fldChar w:fldCharType="separate"/>
          </w:r>
          <w:r>
            <w:t>3</w:t>
          </w:r>
          <w:r>
            <w:fldChar w:fldCharType="end"/>
          </w:r>
          <w:r>
            <w:fldChar w:fldCharType="end"/>
          </w:r>
        </w:p>
        <w:p w14:paraId="032AC30A">
          <w:pPr>
            <w:pStyle w:val="29"/>
            <w:tabs>
              <w:tab w:val="right" w:leader="dot" w:pos="9072"/>
              <w:tab w:val="clear" w:pos="9241"/>
            </w:tabs>
          </w:pPr>
          <w:r>
            <w:fldChar w:fldCharType="begin"/>
          </w:r>
          <w:r>
            <w:instrText xml:space="preserve"> HYPERLINK \l _Toc9316 </w:instrText>
          </w:r>
          <w:r>
            <w:fldChar w:fldCharType="separate"/>
          </w:r>
          <w:r>
            <w:rPr>
              <w:rFonts w:hint="eastAsia" w:ascii="黑体" w:hAnsi="Times New Roman" w:eastAsia="黑体"/>
              <w:i w:val="0"/>
              <w:szCs w:val="21"/>
            </w:rPr>
            <w:t xml:space="preserve">4 </w:t>
          </w:r>
          <w:r>
            <w:t>总体原则</w:t>
          </w:r>
          <w:r>
            <w:tab/>
          </w:r>
          <w:r>
            <w:fldChar w:fldCharType="begin"/>
          </w:r>
          <w:r>
            <w:instrText xml:space="preserve"> PAGEREF _Toc9316 \h </w:instrText>
          </w:r>
          <w:r>
            <w:fldChar w:fldCharType="separate"/>
          </w:r>
          <w:r>
            <w:t>4</w:t>
          </w:r>
          <w:r>
            <w:fldChar w:fldCharType="end"/>
          </w:r>
          <w:r>
            <w:fldChar w:fldCharType="end"/>
          </w:r>
        </w:p>
        <w:p w14:paraId="79F11880">
          <w:pPr>
            <w:pStyle w:val="29"/>
            <w:tabs>
              <w:tab w:val="right" w:leader="dot" w:pos="9072"/>
              <w:tab w:val="clear" w:pos="9241"/>
            </w:tabs>
          </w:pPr>
          <w:r>
            <w:fldChar w:fldCharType="begin"/>
          </w:r>
          <w:r>
            <w:instrText xml:space="preserve"> HYPERLINK \l _Toc13825 </w:instrText>
          </w:r>
          <w:r>
            <w:fldChar w:fldCharType="separate"/>
          </w:r>
          <w:r>
            <w:rPr>
              <w:rFonts w:hint="eastAsia" w:ascii="黑体" w:hAnsi="Times New Roman" w:eastAsia="黑体"/>
              <w:i w:val="0"/>
              <w:szCs w:val="21"/>
            </w:rPr>
            <w:t xml:space="preserve">5 </w:t>
          </w:r>
          <w:r>
            <w:t>改造评估与改造方案</w:t>
          </w:r>
          <w:r>
            <w:tab/>
          </w:r>
          <w:r>
            <w:fldChar w:fldCharType="begin"/>
          </w:r>
          <w:r>
            <w:instrText xml:space="preserve"> PAGEREF _Toc13825 \h </w:instrText>
          </w:r>
          <w:r>
            <w:fldChar w:fldCharType="separate"/>
          </w:r>
          <w:r>
            <w:t>5</w:t>
          </w:r>
          <w:r>
            <w:fldChar w:fldCharType="end"/>
          </w:r>
          <w:r>
            <w:fldChar w:fldCharType="end"/>
          </w:r>
        </w:p>
        <w:p w14:paraId="3442FF70">
          <w:pPr>
            <w:pStyle w:val="29"/>
            <w:tabs>
              <w:tab w:val="right" w:leader="dot" w:pos="9072"/>
              <w:tab w:val="clear" w:pos="9241"/>
            </w:tabs>
          </w:pPr>
          <w:r>
            <w:fldChar w:fldCharType="begin"/>
          </w:r>
          <w:r>
            <w:instrText xml:space="preserve"> HYPERLINK \l _Toc24543 </w:instrText>
          </w:r>
          <w:r>
            <w:fldChar w:fldCharType="separate"/>
          </w:r>
          <w:r>
            <w:rPr>
              <w:rFonts w:hint="eastAsia" w:ascii="黑体" w:hAnsi="Times New Roman" w:eastAsia="黑体"/>
              <w:i w:val="0"/>
              <w:szCs w:val="21"/>
            </w:rPr>
            <w:t xml:space="preserve">6 </w:t>
          </w:r>
          <w:r>
            <w:t>社区公共区域智能化改造</w:t>
          </w:r>
          <w:r>
            <w:tab/>
          </w:r>
          <w:r>
            <w:fldChar w:fldCharType="begin"/>
          </w:r>
          <w:r>
            <w:instrText xml:space="preserve"> PAGEREF _Toc24543 \h </w:instrText>
          </w:r>
          <w:r>
            <w:fldChar w:fldCharType="separate"/>
          </w:r>
          <w:r>
            <w:t>8</w:t>
          </w:r>
          <w:r>
            <w:fldChar w:fldCharType="end"/>
          </w:r>
          <w:r>
            <w:fldChar w:fldCharType="end"/>
          </w:r>
        </w:p>
        <w:p w14:paraId="350ED1A5">
          <w:pPr>
            <w:pStyle w:val="29"/>
            <w:tabs>
              <w:tab w:val="right" w:leader="dot" w:pos="9072"/>
              <w:tab w:val="clear" w:pos="9241"/>
            </w:tabs>
          </w:pPr>
          <w:r>
            <w:fldChar w:fldCharType="begin"/>
          </w:r>
          <w:r>
            <w:instrText xml:space="preserve"> HYPERLINK \l _Toc32466 </w:instrText>
          </w:r>
          <w:r>
            <w:fldChar w:fldCharType="separate"/>
          </w:r>
          <w:r>
            <w:rPr>
              <w:rFonts w:hint="eastAsia" w:ascii="黑体" w:hAnsi="Times New Roman" w:eastAsia="黑体"/>
              <w:i w:val="0"/>
              <w:szCs w:val="21"/>
            </w:rPr>
            <w:t xml:space="preserve">7 </w:t>
          </w:r>
          <w:r>
            <w:t>居家环境智能化改造</w:t>
          </w:r>
          <w:r>
            <w:tab/>
          </w:r>
          <w:r>
            <w:fldChar w:fldCharType="begin"/>
          </w:r>
          <w:r>
            <w:instrText xml:space="preserve"> PAGEREF _Toc32466 \h </w:instrText>
          </w:r>
          <w:r>
            <w:fldChar w:fldCharType="separate"/>
          </w:r>
          <w:r>
            <w:t>11</w:t>
          </w:r>
          <w:r>
            <w:fldChar w:fldCharType="end"/>
          </w:r>
          <w:r>
            <w:fldChar w:fldCharType="end"/>
          </w:r>
        </w:p>
        <w:p w14:paraId="53E79426">
          <w:pPr>
            <w:pStyle w:val="29"/>
            <w:tabs>
              <w:tab w:val="right" w:leader="dot" w:pos="9072"/>
              <w:tab w:val="clear" w:pos="9241"/>
            </w:tabs>
          </w:pPr>
          <w:r>
            <w:fldChar w:fldCharType="begin"/>
          </w:r>
          <w:r>
            <w:instrText xml:space="preserve"> HYPERLINK \l _Toc25155 </w:instrText>
          </w:r>
          <w:r>
            <w:fldChar w:fldCharType="separate"/>
          </w:r>
          <w:r>
            <w:rPr>
              <w:rFonts w:hint="eastAsia" w:ascii="黑体" w:hAnsi="Times New Roman" w:eastAsia="黑体"/>
              <w:i w:val="0"/>
              <w:szCs w:val="21"/>
            </w:rPr>
            <w:t xml:space="preserve">8 </w:t>
          </w:r>
          <w:r>
            <w:t>智能化产品选型与配置</w:t>
          </w:r>
          <w:r>
            <w:tab/>
          </w:r>
          <w:r>
            <w:fldChar w:fldCharType="begin"/>
          </w:r>
          <w:r>
            <w:instrText xml:space="preserve"> PAGEREF _Toc25155 \h </w:instrText>
          </w:r>
          <w:r>
            <w:fldChar w:fldCharType="separate"/>
          </w:r>
          <w:r>
            <w:t>15</w:t>
          </w:r>
          <w:r>
            <w:fldChar w:fldCharType="end"/>
          </w:r>
          <w:r>
            <w:fldChar w:fldCharType="end"/>
          </w:r>
        </w:p>
        <w:p w14:paraId="0224A5C9">
          <w:pPr>
            <w:pStyle w:val="29"/>
            <w:tabs>
              <w:tab w:val="right" w:leader="dot" w:pos="9072"/>
              <w:tab w:val="clear" w:pos="9241"/>
            </w:tabs>
          </w:pPr>
          <w:r>
            <w:fldChar w:fldCharType="begin"/>
          </w:r>
          <w:r>
            <w:instrText xml:space="preserve"> HYPERLINK \l _Toc30020 </w:instrText>
          </w:r>
          <w:r>
            <w:fldChar w:fldCharType="separate"/>
          </w:r>
          <w:r>
            <w:rPr>
              <w:rFonts w:hint="eastAsia" w:ascii="黑体" w:hAnsi="Times New Roman" w:eastAsia="黑体"/>
              <w:i w:val="0"/>
              <w:szCs w:val="21"/>
            </w:rPr>
            <w:t xml:space="preserve">9 </w:t>
          </w:r>
          <w:r>
            <w:t>施工安装与调试</w:t>
          </w:r>
          <w:r>
            <w:tab/>
          </w:r>
          <w:r>
            <w:fldChar w:fldCharType="begin"/>
          </w:r>
          <w:r>
            <w:instrText xml:space="preserve"> PAGEREF _Toc30020 \h </w:instrText>
          </w:r>
          <w:r>
            <w:fldChar w:fldCharType="separate"/>
          </w:r>
          <w:r>
            <w:t>16</w:t>
          </w:r>
          <w:r>
            <w:fldChar w:fldCharType="end"/>
          </w:r>
          <w:r>
            <w:fldChar w:fldCharType="end"/>
          </w:r>
        </w:p>
        <w:p w14:paraId="0E525194">
          <w:pPr>
            <w:pStyle w:val="20"/>
            <w:tabs>
              <w:tab w:val="right" w:leader="dot" w:pos="9072"/>
              <w:tab w:val="clear" w:pos="9241"/>
            </w:tabs>
          </w:pPr>
          <w:r>
            <w:fldChar w:fldCharType="begin"/>
          </w:r>
          <w:r>
            <w:instrText xml:space="preserve"> HYPERLINK \l _Toc18873 </w:instrText>
          </w:r>
          <w:r>
            <w:fldChar w:fldCharType="separate"/>
          </w:r>
          <w:r>
            <w:t>附录A</w:t>
          </w:r>
          <w:r>
            <w:tab/>
          </w:r>
          <w:r>
            <w:fldChar w:fldCharType="begin"/>
          </w:r>
          <w:r>
            <w:instrText xml:space="preserve"> PAGEREF _Toc18873 \h </w:instrText>
          </w:r>
          <w:r>
            <w:fldChar w:fldCharType="separate"/>
          </w:r>
          <w:r>
            <w:t>19</w:t>
          </w:r>
          <w:r>
            <w:fldChar w:fldCharType="end"/>
          </w:r>
          <w:r>
            <w:fldChar w:fldCharType="end"/>
          </w:r>
        </w:p>
        <w:p w14:paraId="6E2E65DB">
          <w:pPr>
            <w:pStyle w:val="20"/>
            <w:tabs>
              <w:tab w:val="right" w:leader="dot" w:pos="9072"/>
              <w:tab w:val="clear" w:pos="9241"/>
            </w:tabs>
          </w:pPr>
          <w:r>
            <w:fldChar w:fldCharType="begin"/>
          </w:r>
          <w:r>
            <w:instrText xml:space="preserve"> HYPERLINK \l _Toc5023 </w:instrText>
          </w:r>
          <w:r>
            <w:fldChar w:fldCharType="separate"/>
          </w:r>
          <w:r>
            <w:t>附录B</w:t>
          </w:r>
          <w:r>
            <w:tab/>
          </w:r>
          <w:r>
            <w:fldChar w:fldCharType="begin"/>
          </w:r>
          <w:r>
            <w:instrText xml:space="preserve"> PAGEREF _Toc5023 \h </w:instrText>
          </w:r>
          <w:r>
            <w:fldChar w:fldCharType="separate"/>
          </w:r>
          <w:r>
            <w:t>21</w:t>
          </w:r>
          <w:r>
            <w:fldChar w:fldCharType="end"/>
          </w:r>
          <w:r>
            <w:fldChar w:fldCharType="end"/>
          </w:r>
        </w:p>
        <w:p w14:paraId="734EB129">
          <w:pPr>
            <w:pStyle w:val="20"/>
            <w:tabs>
              <w:tab w:val="right" w:leader="dot" w:pos="9072"/>
              <w:tab w:val="clear" w:pos="9241"/>
            </w:tabs>
          </w:pPr>
          <w:r>
            <w:fldChar w:fldCharType="begin"/>
          </w:r>
          <w:r>
            <w:instrText xml:space="preserve"> HYPERLINK \l _Toc20743 </w:instrText>
          </w:r>
          <w:r>
            <w:fldChar w:fldCharType="separate"/>
          </w:r>
          <w:r>
            <w:t>参考文献</w:t>
          </w:r>
          <w:r>
            <w:tab/>
          </w:r>
          <w:r>
            <w:fldChar w:fldCharType="begin"/>
          </w:r>
          <w:r>
            <w:instrText xml:space="preserve"> PAGEREF _Toc20743 \h </w:instrText>
          </w:r>
          <w:r>
            <w:fldChar w:fldCharType="separate"/>
          </w:r>
          <w:r>
            <w:t>22</w:t>
          </w:r>
          <w:r>
            <w:fldChar w:fldCharType="end"/>
          </w:r>
          <w:r>
            <w:fldChar w:fldCharType="end"/>
          </w:r>
        </w:p>
        <w:p w14:paraId="77D4F5B0">
          <w:r>
            <w:fldChar w:fldCharType="end"/>
          </w:r>
        </w:p>
      </w:sdtContent>
    </w:sdt>
    <w:p w14:paraId="312A9C0F"/>
    <w:p w14:paraId="6FBE2F18">
      <w:pPr>
        <w:pStyle w:val="24"/>
        <w:rPr>
          <w:rFonts w:hint="eastAsia"/>
        </w:rPr>
      </w:pPr>
      <w:r>
        <w:br w:type="page"/>
      </w:r>
      <w:bookmarkStart w:id="57" w:name="_GoBack"/>
      <w:bookmarkEnd w:id="57"/>
    </w:p>
    <w:p w14:paraId="2BDAE35E">
      <w:pPr>
        <w:pStyle w:val="55"/>
        <w:tabs>
          <w:tab w:val="left" w:pos="726"/>
          <w:tab w:val="center" w:pos="4677"/>
          <w:tab w:val="left" w:pos="8302"/>
          <w:tab w:val="right" w:pos="9354"/>
        </w:tabs>
        <w:jc w:val="left"/>
      </w:pPr>
      <w:bookmarkStart w:id="7" w:name="_Toc59466659"/>
      <w:r>
        <w:tab/>
      </w:r>
      <w:r>
        <w:tab/>
      </w:r>
      <w:bookmarkStart w:id="8" w:name="_Toc3917"/>
      <w:r>
        <w:t>前</w:t>
      </w:r>
      <w:r>
        <w:rPr>
          <w:rFonts w:hint="eastAsia"/>
        </w:rPr>
        <w:t xml:space="preserve"> </w:t>
      </w:r>
      <w:r>
        <w:t xml:space="preserve"> 言</w:t>
      </w:r>
      <w:bookmarkEnd w:id="7"/>
      <w:bookmarkEnd w:id="8"/>
      <w:r>
        <w:tab/>
      </w:r>
      <w:r>
        <w:tab/>
      </w:r>
    </w:p>
    <w:p w14:paraId="4C801535">
      <w:pPr>
        <w:pStyle w:val="24"/>
        <w:rPr>
          <w:rFonts w:hint="eastAsia"/>
        </w:rPr>
      </w:pPr>
      <w:r>
        <w:rPr>
          <w:rFonts w:hint="eastAsia"/>
        </w:rPr>
        <w:t>本文件按照GB/T 1.1—2020《标准化工作导则 第1部分：标准化文件的结构和起草规则》的规定起草。</w:t>
      </w:r>
    </w:p>
    <w:p w14:paraId="5CC6765D">
      <w:pPr>
        <w:pStyle w:val="24"/>
        <w:rPr>
          <w:rFonts w:hint="eastAsia"/>
        </w:rPr>
      </w:pPr>
      <w:r>
        <w:rPr>
          <w:rFonts w:hint="eastAsia" w:hAnsi="宋体" w:eastAsia="宋体" w:cs="宋体"/>
          <w:color w:val="000000" w:themeColor="text1"/>
          <w14:textFill>
            <w14:solidFill>
              <w14:schemeClr w14:val="tx1"/>
            </w14:solidFill>
          </w14:textFill>
        </w:rPr>
        <w:t>请注意本文件的某些内容可能涉及专利。本文件的发布机构不承担识别专利的责任。</w:t>
      </w:r>
    </w:p>
    <w:p w14:paraId="5316879E">
      <w:pPr>
        <w:pStyle w:val="24"/>
        <w:rPr>
          <w:rFonts w:hint="eastAsia"/>
        </w:rPr>
      </w:pPr>
      <w:r>
        <w:rPr>
          <w:rFonts w:hint="eastAsia" w:ascii="宋体" w:hAnsi="宋体" w:eastAsia="宋体" w:cs="宋体"/>
          <w:b w:val="0"/>
          <w:bCs w:val="0"/>
          <w:color w:val="000000"/>
          <w:sz w:val="21"/>
          <w:szCs w:val="21"/>
        </w:rPr>
        <w:t>本文件由北京劳动保障职业学院提出。</w:t>
      </w:r>
    </w:p>
    <w:p w14:paraId="7B1AFFCD">
      <w:pPr>
        <w:pStyle w:val="24"/>
      </w:pPr>
      <w:r>
        <w:rPr>
          <w:rFonts w:hint="eastAsia"/>
        </w:rPr>
        <w:t>本文件由北京标准化协会归口。</w:t>
      </w:r>
    </w:p>
    <w:p w14:paraId="5AC471A9">
      <w:pPr>
        <w:pStyle w:val="24"/>
        <w:rPr>
          <w:rFonts w:hint="default" w:eastAsia="宋体"/>
          <w:lang w:val="en-US" w:eastAsia="zh-CN"/>
        </w:rPr>
      </w:pPr>
      <w:r>
        <w:rPr>
          <w:rFonts w:hint="eastAsia"/>
        </w:rPr>
        <w:t>本文件起草单位：</w:t>
      </w:r>
    </w:p>
    <w:p w14:paraId="059A4849">
      <w:pPr>
        <w:pStyle w:val="24"/>
        <w:rPr>
          <w:rFonts w:hint="default" w:eastAsia="宋体"/>
          <w:lang w:val="en-US" w:eastAsia="zh-CN"/>
        </w:rPr>
      </w:pPr>
      <w:r>
        <w:rPr>
          <w:rFonts w:hint="eastAsia"/>
        </w:rPr>
        <w:t>本文件主要起草人：</w:t>
      </w:r>
    </w:p>
    <w:p w14:paraId="567203D9">
      <w:pPr>
        <w:widowControl/>
        <w:jc w:val="left"/>
        <w:rPr>
          <w:rFonts w:ascii="黑体" w:eastAsia="黑体"/>
          <w:kern w:val="0"/>
          <w:sz w:val="32"/>
          <w:szCs w:val="20"/>
        </w:rPr>
      </w:pPr>
    </w:p>
    <w:p w14:paraId="48070BF2">
      <w:pPr>
        <w:bidi w:val="0"/>
        <w:rPr>
          <w:rFonts w:ascii="Times New Roman" w:hAnsi="Times New Roman" w:eastAsia="宋体" w:cs="Times New Roman"/>
          <w:kern w:val="2"/>
          <w:sz w:val="21"/>
          <w:szCs w:val="24"/>
          <w:lang w:val="en-US" w:eastAsia="zh-CN" w:bidi="ar-SA"/>
        </w:rPr>
      </w:pPr>
    </w:p>
    <w:p w14:paraId="7A9C41A8">
      <w:pPr>
        <w:bidi w:val="0"/>
        <w:rPr>
          <w:lang w:val="en-US" w:eastAsia="zh-CN"/>
        </w:rPr>
      </w:pPr>
    </w:p>
    <w:p w14:paraId="545C254F">
      <w:pPr>
        <w:bidi w:val="0"/>
        <w:rPr>
          <w:lang w:val="en-US" w:eastAsia="zh-CN"/>
        </w:rPr>
      </w:pPr>
    </w:p>
    <w:p w14:paraId="03CC1AFC">
      <w:pPr>
        <w:bidi w:val="0"/>
        <w:rPr>
          <w:lang w:val="en-US" w:eastAsia="zh-CN"/>
        </w:rPr>
      </w:pPr>
    </w:p>
    <w:p w14:paraId="057F59A1">
      <w:pPr>
        <w:bidi w:val="0"/>
        <w:rPr>
          <w:lang w:val="en-US" w:eastAsia="zh-CN"/>
        </w:rPr>
      </w:pPr>
    </w:p>
    <w:p w14:paraId="4C7C82C4">
      <w:pPr>
        <w:bidi w:val="0"/>
        <w:rPr>
          <w:lang w:val="en-US" w:eastAsia="zh-CN"/>
        </w:rPr>
      </w:pPr>
    </w:p>
    <w:p w14:paraId="37AD97C0">
      <w:pPr>
        <w:bidi w:val="0"/>
        <w:rPr>
          <w:lang w:val="en-US" w:eastAsia="zh-CN"/>
        </w:rPr>
      </w:pPr>
    </w:p>
    <w:p w14:paraId="220E3C15">
      <w:pPr>
        <w:bidi w:val="0"/>
        <w:rPr>
          <w:lang w:val="en-US" w:eastAsia="zh-CN"/>
        </w:rPr>
      </w:pPr>
    </w:p>
    <w:p w14:paraId="0B86CE6B">
      <w:pPr>
        <w:bidi w:val="0"/>
        <w:rPr>
          <w:lang w:val="en-US" w:eastAsia="zh-CN"/>
        </w:rPr>
      </w:pPr>
    </w:p>
    <w:p w14:paraId="4BBF3AAF">
      <w:pPr>
        <w:bidi w:val="0"/>
        <w:rPr>
          <w:lang w:val="en-US" w:eastAsia="zh-CN"/>
        </w:rPr>
      </w:pPr>
    </w:p>
    <w:p w14:paraId="5A29FC82">
      <w:pPr>
        <w:bidi w:val="0"/>
        <w:rPr>
          <w:lang w:val="en-US" w:eastAsia="zh-CN"/>
        </w:rPr>
      </w:pPr>
    </w:p>
    <w:p w14:paraId="3DC20107">
      <w:pPr>
        <w:bidi w:val="0"/>
        <w:rPr>
          <w:lang w:val="en-US" w:eastAsia="zh-CN"/>
        </w:rPr>
      </w:pPr>
    </w:p>
    <w:p w14:paraId="1A1E8404">
      <w:pPr>
        <w:bidi w:val="0"/>
        <w:rPr>
          <w:lang w:val="en-US" w:eastAsia="zh-CN"/>
        </w:rPr>
      </w:pPr>
    </w:p>
    <w:p w14:paraId="70F469F2">
      <w:pPr>
        <w:bidi w:val="0"/>
        <w:rPr>
          <w:lang w:val="en-US" w:eastAsia="zh-CN"/>
        </w:rPr>
      </w:pPr>
    </w:p>
    <w:p w14:paraId="50B13365">
      <w:pPr>
        <w:bidi w:val="0"/>
        <w:rPr>
          <w:lang w:val="en-US" w:eastAsia="zh-CN"/>
        </w:rPr>
      </w:pPr>
    </w:p>
    <w:p w14:paraId="7BFADCA6">
      <w:pPr>
        <w:bidi w:val="0"/>
        <w:rPr>
          <w:lang w:val="en-US" w:eastAsia="zh-CN"/>
        </w:rPr>
      </w:pPr>
    </w:p>
    <w:p w14:paraId="43DEFFC9">
      <w:pPr>
        <w:bidi w:val="0"/>
        <w:rPr>
          <w:lang w:val="en-US" w:eastAsia="zh-CN"/>
        </w:rPr>
      </w:pPr>
    </w:p>
    <w:p w14:paraId="1245C281">
      <w:pPr>
        <w:bidi w:val="0"/>
        <w:rPr>
          <w:lang w:val="en-US" w:eastAsia="zh-CN"/>
        </w:rPr>
      </w:pPr>
    </w:p>
    <w:p w14:paraId="246B2B60">
      <w:pPr>
        <w:bidi w:val="0"/>
        <w:rPr>
          <w:lang w:val="en-US" w:eastAsia="zh-CN"/>
        </w:rPr>
      </w:pPr>
    </w:p>
    <w:p w14:paraId="1550587C">
      <w:pPr>
        <w:bidi w:val="0"/>
        <w:rPr>
          <w:lang w:val="en-US" w:eastAsia="zh-CN"/>
        </w:rPr>
      </w:pPr>
    </w:p>
    <w:p w14:paraId="6F2346AC">
      <w:pPr>
        <w:bidi w:val="0"/>
        <w:rPr>
          <w:lang w:val="en-US" w:eastAsia="zh-CN"/>
        </w:rPr>
      </w:pPr>
    </w:p>
    <w:p w14:paraId="7A02F404">
      <w:pPr>
        <w:bidi w:val="0"/>
        <w:rPr>
          <w:lang w:val="en-US" w:eastAsia="zh-CN"/>
        </w:rPr>
      </w:pPr>
    </w:p>
    <w:p w14:paraId="5628BE9F">
      <w:pPr>
        <w:bidi w:val="0"/>
        <w:rPr>
          <w:lang w:val="en-US" w:eastAsia="zh-CN"/>
        </w:rPr>
      </w:pPr>
    </w:p>
    <w:p w14:paraId="0994FE84">
      <w:pPr>
        <w:bidi w:val="0"/>
        <w:rPr>
          <w:lang w:val="en-US" w:eastAsia="zh-CN"/>
        </w:rPr>
      </w:pPr>
    </w:p>
    <w:p w14:paraId="3598C069">
      <w:pPr>
        <w:bidi w:val="0"/>
        <w:rPr>
          <w:lang w:val="en-US" w:eastAsia="zh-CN"/>
        </w:rPr>
      </w:pPr>
    </w:p>
    <w:p w14:paraId="6A9BE959">
      <w:pPr>
        <w:tabs>
          <w:tab w:val="left" w:pos="712"/>
        </w:tabs>
        <w:bidi w:val="0"/>
        <w:jc w:val="left"/>
        <w:rPr>
          <w:lang w:val="en-US" w:eastAsia="zh-CN"/>
        </w:rPr>
        <w:sectPr>
          <w:headerReference r:id="rId5" w:type="default"/>
          <w:footerReference r:id="rId6" w:type="default"/>
          <w:footerReference r:id="rId7" w:type="even"/>
          <w:pgSz w:w="11906" w:h="16838"/>
          <w:pgMar w:top="567" w:right="1416" w:bottom="1134" w:left="1418" w:header="1418" w:footer="1134" w:gutter="0"/>
          <w:pgNumType w:fmt="upperRoman" w:start="1"/>
          <w:cols w:space="425" w:num="1"/>
          <w:formProt w:val="0"/>
          <w:docGrid w:type="lines" w:linePitch="312" w:charSpace="0"/>
        </w:sectPr>
      </w:pPr>
      <w:r>
        <w:rPr>
          <w:rFonts w:hint="eastAsia"/>
          <w:lang w:val="en-US" w:eastAsia="zh-CN"/>
        </w:rPr>
        <w:tab/>
      </w:r>
    </w:p>
    <w:p w14:paraId="781AF652">
      <w:pPr>
        <w:keepNext w:val="0"/>
        <w:keepLines w:val="0"/>
        <w:pageBreakBefore w:val="0"/>
        <w:widowControl w:val="0"/>
        <w:kinsoku/>
        <w:wordWrap/>
        <w:overflowPunct/>
        <w:topLinePunct w:val="0"/>
        <w:autoSpaceDE/>
        <w:autoSpaceDN/>
        <w:bidi w:val="0"/>
        <w:adjustRightInd/>
        <w:snapToGrid/>
        <w:spacing w:before="640" w:after="560"/>
        <w:jc w:val="center"/>
        <w:textAlignment w:val="auto"/>
        <w:rPr>
          <w:rFonts w:hint="eastAsia" w:ascii="黑体" w:hAnsi="黑体" w:eastAsia="黑体" w:cs="黑体"/>
          <w:sz w:val="48"/>
          <w:szCs w:val="48"/>
        </w:rPr>
      </w:pPr>
      <w:bookmarkStart w:id="9" w:name="_Toc2110"/>
      <w:bookmarkStart w:id="10" w:name="_Toc28594"/>
      <w:r>
        <w:rPr>
          <w:rFonts w:hint="eastAsia" w:ascii="黑体" w:hAnsi="黑体" w:eastAsia="黑体" w:cs="黑体"/>
          <w:sz w:val="48"/>
          <w:szCs w:val="48"/>
          <w:lang w:val="en-US" w:eastAsia="zh-CN"/>
        </w:rPr>
        <w:t>社区居家适老智能化改造指南</w:t>
      </w:r>
      <w:bookmarkEnd w:id="9"/>
      <w:bookmarkEnd w:id="10"/>
    </w:p>
    <w:p w14:paraId="2B6D5DAB">
      <w:pPr>
        <w:pStyle w:val="50"/>
        <w:spacing w:before="312" w:after="312"/>
      </w:pPr>
      <w:bookmarkStart w:id="11" w:name="_Toc25476"/>
      <w:bookmarkStart w:id="12" w:name="_Toc7987"/>
      <w:r>
        <w:t>范围</w:t>
      </w:r>
      <w:bookmarkEnd w:id="11"/>
      <w:bookmarkEnd w:id="12"/>
    </w:p>
    <w:p w14:paraId="2AF38E31">
      <w:pPr>
        <w:pStyle w:val="24"/>
        <w:rPr>
          <w:rFonts w:hint="eastAsia"/>
        </w:rPr>
      </w:pPr>
      <w:r>
        <w:rPr>
          <w:rFonts w:hint="eastAsia"/>
        </w:rPr>
        <w:t>本文件提供了社区居家适老智能化改造的总体原则、改造评估与改造方案、社区公共区域智能化改造、居家环境智能化改造、智能化产品选型与配置、施工安装与调试的指南。</w:t>
      </w:r>
    </w:p>
    <w:p w14:paraId="312F833B">
      <w:pPr>
        <w:pStyle w:val="24"/>
        <w:rPr>
          <w:rFonts w:hint="eastAsia"/>
        </w:rPr>
      </w:pPr>
      <w:r>
        <w:rPr>
          <w:rFonts w:hint="eastAsia"/>
        </w:rPr>
        <w:t>本文件适用于社区公共区域及老年人居家环境的适老智能化改造项目的设计、实施及验收。</w:t>
      </w:r>
    </w:p>
    <w:p w14:paraId="3A1813C8">
      <w:pPr>
        <w:pStyle w:val="50"/>
        <w:spacing w:before="312" w:after="312"/>
      </w:pPr>
      <w:bookmarkStart w:id="13" w:name="_Toc3464"/>
      <w:bookmarkStart w:id="14" w:name="_Toc2114"/>
      <w:r>
        <w:t>规范性引用文件</w:t>
      </w:r>
      <w:bookmarkEnd w:id="13"/>
      <w:bookmarkEnd w:id="14"/>
    </w:p>
    <w:p w14:paraId="5866AD7F">
      <w:pPr>
        <w:pStyle w:val="24"/>
        <w:rPr>
          <w:rFonts w:hint="eastAsia"/>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6A56A10A">
      <w:pPr>
        <w:pStyle w:val="24"/>
        <w:rPr>
          <w:rFonts w:hint="eastAsia"/>
        </w:rPr>
      </w:pPr>
      <w:r>
        <w:t>GB 12523  建筑施工场界环境噪声排放标准</w:t>
      </w:r>
    </w:p>
    <w:p w14:paraId="038B4579">
      <w:pPr>
        <w:pStyle w:val="24"/>
        <w:rPr>
          <w:rFonts w:hint="eastAsia"/>
        </w:rPr>
      </w:pPr>
      <w:r>
        <w:t>GB/T 16432  康复辅助器具 分类和术语</w:t>
      </w:r>
    </w:p>
    <w:p w14:paraId="442B6E67">
      <w:pPr>
        <w:pStyle w:val="24"/>
        <w:rPr>
          <w:rFonts w:hint="eastAsia"/>
        </w:rPr>
      </w:pPr>
      <w:r>
        <w:rPr>
          <w:rFonts w:hint="eastAsia"/>
        </w:rPr>
        <w:t>GB/T 35273  信息安全技术 个人信息安全规范</w:t>
      </w:r>
    </w:p>
    <w:p w14:paraId="128DBC49">
      <w:pPr>
        <w:pStyle w:val="24"/>
        <w:rPr>
          <w:rFonts w:hint="eastAsia"/>
        </w:rPr>
      </w:pPr>
      <w:r>
        <w:rPr>
          <w:rFonts w:hint="eastAsia"/>
        </w:rPr>
        <w:t>GB/T 41391  信息安全技术 移动互联网应用程序（App）收集个人信息基本要求</w:t>
      </w:r>
    </w:p>
    <w:p w14:paraId="06ED9CD4">
      <w:pPr>
        <w:pStyle w:val="24"/>
        <w:rPr>
          <w:rFonts w:hint="eastAsia"/>
        </w:rPr>
      </w:pPr>
      <w:r>
        <w:rPr>
          <w:rFonts w:hint="eastAsia"/>
        </w:rPr>
        <w:t>GB/T 42195  老年人能力评估规范</w:t>
      </w:r>
    </w:p>
    <w:p w14:paraId="64429151">
      <w:pPr>
        <w:pStyle w:val="24"/>
        <w:rPr>
          <w:rFonts w:hint="eastAsia"/>
        </w:rPr>
      </w:pPr>
      <w:r>
        <w:rPr>
          <w:rFonts w:hint="eastAsia"/>
        </w:rPr>
        <w:t>GB 50116  火灾自动报警系统设计规范</w:t>
      </w:r>
    </w:p>
    <w:p w14:paraId="18BE224A">
      <w:pPr>
        <w:pStyle w:val="24"/>
        <w:rPr>
          <w:rFonts w:hint="eastAsia"/>
        </w:rPr>
      </w:pPr>
      <w:r>
        <w:rPr>
          <w:rFonts w:hint="eastAsia"/>
        </w:rPr>
        <w:t>GB 50642  无障碍设施施工验收及维护规范</w:t>
      </w:r>
    </w:p>
    <w:p w14:paraId="067A0530">
      <w:pPr>
        <w:pStyle w:val="24"/>
        <w:rPr>
          <w:rFonts w:hint="eastAsia"/>
        </w:rPr>
      </w:pPr>
      <w:r>
        <w:rPr>
          <w:rFonts w:hint="eastAsia"/>
        </w:rPr>
        <w:t>GB 55022  既有建筑维护与改造通用规范</w:t>
      </w:r>
    </w:p>
    <w:p w14:paraId="65965B51">
      <w:pPr>
        <w:pStyle w:val="24"/>
        <w:rPr>
          <w:rFonts w:hint="eastAsia"/>
        </w:rPr>
      </w:pPr>
      <w:r>
        <w:rPr>
          <w:rFonts w:hint="eastAsia"/>
        </w:rPr>
        <w:t>MZ/T 217  老年人居家环境适老化改造服务机构基本规范</w:t>
      </w:r>
    </w:p>
    <w:p w14:paraId="28CC84A6">
      <w:pPr>
        <w:pStyle w:val="50"/>
      </w:pPr>
      <w:bookmarkStart w:id="15" w:name="_Toc13444"/>
      <w:r>
        <w:t>术语和定义</w:t>
      </w:r>
      <w:bookmarkEnd w:id="15"/>
    </w:p>
    <w:p w14:paraId="4D76BF6F">
      <w:pPr>
        <w:pStyle w:val="24"/>
      </w:pPr>
      <w:r>
        <w:t>下列术语和定义适用于本文件。</w:t>
      </w:r>
    </w:p>
    <w:p w14:paraId="4D6EC0F4">
      <w:pPr>
        <w:pStyle w:val="49"/>
      </w:pPr>
    </w:p>
    <w:p w14:paraId="611CB1BA">
      <w:pPr>
        <w:pStyle w:val="24"/>
        <w:rPr>
          <w:rFonts w:ascii="黑体" w:hAnsi="黑体" w:eastAsia="黑体"/>
        </w:rPr>
      </w:pPr>
      <w:r>
        <w:rPr>
          <w:rFonts w:ascii="黑体" w:hAnsi="黑体" w:eastAsia="黑体"/>
        </w:rPr>
        <w:t xml:space="preserve">社区居家适老智能化改造  </w:t>
      </w:r>
      <w:r>
        <w:t>intelligent renovation of community and home-based elderly care environment</w:t>
      </w:r>
    </w:p>
    <w:p w14:paraId="5DFA5A24">
      <w:pPr>
        <w:pStyle w:val="24"/>
      </w:pPr>
      <w:r>
        <w:t>通过运用物联网、人工智能、大数据等智能化技术，对社区公共区域及老年人居家环境进行改造，配置智能化产品与系统，以增强老年人居家生活的安全性、便利性、舒适性和社交连通性，提升老年人生活品质的一种活动。</w:t>
      </w:r>
    </w:p>
    <w:p w14:paraId="1E27A71E">
      <w:pPr>
        <w:pStyle w:val="49"/>
      </w:pPr>
    </w:p>
    <w:p w14:paraId="7BB93E85">
      <w:pPr>
        <w:pStyle w:val="24"/>
      </w:pPr>
      <w:r>
        <w:rPr>
          <w:rFonts w:ascii="黑体" w:hAnsi="黑体" w:eastAsia="黑体"/>
        </w:rPr>
        <w:t xml:space="preserve">本地报警  </w:t>
      </w:r>
      <w:r>
        <w:t>local alarm</w:t>
      </w:r>
    </w:p>
    <w:p w14:paraId="17DFB4D7">
      <w:pPr>
        <w:pStyle w:val="24"/>
      </w:pPr>
      <w:r>
        <w:t>安全事件发生时，由现场设备在本地区域内以声音、光等方式直接发出的报警提示，不依赖外部网络与远端平台。</w:t>
      </w:r>
    </w:p>
    <w:p w14:paraId="03FC564C">
      <w:pPr>
        <w:pStyle w:val="49"/>
      </w:pPr>
    </w:p>
    <w:p w14:paraId="506DD8AF">
      <w:pPr>
        <w:pStyle w:val="24"/>
      </w:pPr>
      <w:r>
        <w:rPr>
          <w:rFonts w:ascii="黑体" w:hAnsi="黑体" w:eastAsia="黑体"/>
        </w:rPr>
        <w:t xml:space="preserve">远程报警 </w:t>
      </w:r>
      <w:r>
        <w:t xml:space="preserve"> remote alarm</w:t>
      </w:r>
    </w:p>
    <w:p w14:paraId="64D6637F">
      <w:pPr>
        <w:pStyle w:val="24"/>
      </w:pPr>
      <w:r>
        <w:t>安全事件发生时，报警信息通过网络传送至平台、家庭成员或照护人员等远端接收方发出的报警提示。</w:t>
      </w:r>
    </w:p>
    <w:p w14:paraId="373E5788">
      <w:pPr>
        <w:pStyle w:val="49"/>
      </w:pPr>
    </w:p>
    <w:p w14:paraId="604F5828">
      <w:pPr>
        <w:pStyle w:val="24"/>
      </w:pPr>
      <w:r>
        <w:rPr>
          <w:rFonts w:ascii="黑体" w:hAnsi="黑体" w:eastAsia="黑体"/>
        </w:rPr>
        <w:t xml:space="preserve">智能安全防护  </w:t>
      </w:r>
      <w:r>
        <w:t>intelligent safety protection</w:t>
      </w:r>
    </w:p>
    <w:p w14:paraId="2AE00705">
      <w:pPr>
        <w:pStyle w:val="24"/>
      </w:pPr>
      <w:r>
        <w:t>利用智能传感、自动控制、实时通信等技术，对老年人居家及社区活动环境中的跌倒、火灾、燃气泄漏、水浸、非法入侵等安全风险进行自动监测、预警和防护的系统功能。</w:t>
      </w:r>
    </w:p>
    <w:p w14:paraId="664705AC">
      <w:pPr>
        <w:pStyle w:val="49"/>
      </w:pPr>
    </w:p>
    <w:p w14:paraId="01326954">
      <w:pPr>
        <w:pStyle w:val="24"/>
      </w:pPr>
      <w:r>
        <w:rPr>
          <w:rFonts w:ascii="黑体" w:hAnsi="黑体" w:eastAsia="黑体"/>
        </w:rPr>
        <w:t xml:space="preserve">智能健康监测 </w:t>
      </w:r>
      <w:r>
        <w:rPr>
          <w:rFonts w:hint="eastAsia" w:ascii="黑体" w:hAnsi="黑体" w:eastAsia="黑体"/>
          <w:lang w:val="en-US" w:eastAsia="zh-CN"/>
        </w:rPr>
        <w:t xml:space="preserve"> </w:t>
      </w:r>
      <w:r>
        <w:t>intelligent health monitoring</w:t>
      </w:r>
    </w:p>
    <w:p w14:paraId="1D1FFD8C">
      <w:pPr>
        <w:pStyle w:val="24"/>
      </w:pPr>
      <w:r>
        <w:t>通过可穿戴设备、智能传感装置等对老年人生命体征、日常活动状态进行持续采集、传输和分析，实现健康状态评估、异常预警和远程照护的系统功能。</w:t>
      </w:r>
    </w:p>
    <w:p w14:paraId="37545A2C">
      <w:pPr>
        <w:pStyle w:val="49"/>
      </w:pPr>
    </w:p>
    <w:p w14:paraId="2F5A99A3">
      <w:pPr>
        <w:pStyle w:val="24"/>
      </w:pPr>
      <w:r>
        <w:rPr>
          <w:rFonts w:ascii="黑体" w:hAnsi="黑体" w:eastAsia="黑体"/>
        </w:rPr>
        <w:t xml:space="preserve">智能环境控制 </w:t>
      </w:r>
      <w:r>
        <w:t>intelligent environment control</w:t>
      </w:r>
    </w:p>
    <w:p w14:paraId="30A3C4CF">
      <w:pPr>
        <w:pStyle w:val="24"/>
      </w:pPr>
      <w:r>
        <w:t>利用物联网技术对居家环境中的照明、温湿度、空气质量、窗帘等设备进行智能调节和集中管理的系统功能。</w:t>
      </w:r>
    </w:p>
    <w:p w14:paraId="7E2DAAAE">
      <w:pPr>
        <w:pStyle w:val="49"/>
      </w:pPr>
    </w:p>
    <w:p w14:paraId="7164D867">
      <w:pPr>
        <w:pStyle w:val="24"/>
      </w:pPr>
      <w:r>
        <w:rPr>
          <w:rFonts w:ascii="黑体" w:hAnsi="黑体" w:eastAsia="黑体"/>
        </w:rPr>
        <w:t xml:space="preserve">智能生活辅助 </w:t>
      </w:r>
      <w:r>
        <w:t>intelligent daily living assistance</w:t>
      </w:r>
    </w:p>
    <w:p w14:paraId="21F5B974">
      <w:pPr>
        <w:pStyle w:val="24"/>
      </w:pPr>
      <w:r>
        <w:t>通过语音交互、智能家电、智能辅具等技术手段，辅助老年人完成日常起居、烹饪、如厕、洗浴等活动，补偿或代偿老年人衰退功能的系统功能。</w:t>
      </w:r>
    </w:p>
    <w:p w14:paraId="6571E223">
      <w:pPr>
        <w:pStyle w:val="24"/>
      </w:pPr>
    </w:p>
    <w:p w14:paraId="549C89A3">
      <w:pPr>
        <w:pStyle w:val="49"/>
      </w:pPr>
    </w:p>
    <w:p w14:paraId="6E7E356F">
      <w:pPr>
        <w:pStyle w:val="24"/>
      </w:pPr>
      <w:r>
        <w:rPr>
          <w:rFonts w:ascii="黑体" w:hAnsi="黑体" w:eastAsia="黑体"/>
        </w:rPr>
        <w:t xml:space="preserve">适老智能终端  </w:t>
      </w:r>
      <w:r>
        <w:t>elderly-appropriate intelligent terminal</w:t>
      </w:r>
    </w:p>
    <w:p w14:paraId="766EE260">
      <w:pPr>
        <w:pStyle w:val="24"/>
      </w:pPr>
      <w:r>
        <w:t>针对老年人感知、认知和操作能力特点设计，具备大字体、大图标、语音交互、简化操作等适老化特征的智能终端设备。</w:t>
      </w:r>
    </w:p>
    <w:p w14:paraId="7DBADDE3">
      <w:pPr>
        <w:pStyle w:val="49"/>
      </w:pPr>
    </w:p>
    <w:p w14:paraId="234C3805">
      <w:pPr>
        <w:pStyle w:val="24"/>
      </w:pPr>
      <w:r>
        <w:rPr>
          <w:rFonts w:ascii="黑体" w:hAnsi="黑体" w:eastAsia="黑体"/>
        </w:rPr>
        <w:t xml:space="preserve">紧急呼叫装置  </w:t>
      </w:r>
      <w:r>
        <w:t>emergency call device</w:t>
      </w:r>
    </w:p>
    <w:p w14:paraId="14A63B84">
      <w:pPr>
        <w:pStyle w:val="24"/>
      </w:pPr>
      <w:r>
        <w:t>设置于固定位置或随身携带，可通过按钮、拉绳一键触发报警求助信号，并将信号传送至家庭成员和（或）平台的产品设备。</w:t>
      </w:r>
    </w:p>
    <w:p w14:paraId="4C629821">
      <w:pPr>
        <w:pStyle w:val="50"/>
      </w:pPr>
      <w:bookmarkStart w:id="16" w:name="_Toc9316"/>
      <w:r>
        <w:t>总体原则</w:t>
      </w:r>
      <w:bookmarkEnd w:id="16"/>
    </w:p>
    <w:p w14:paraId="0344E3F8">
      <w:pPr>
        <w:pStyle w:val="49"/>
      </w:pPr>
      <w:r>
        <w:t>安全优先</w:t>
      </w:r>
    </w:p>
    <w:p w14:paraId="1F9C970A">
      <w:pPr>
        <w:pStyle w:val="24"/>
      </w:pPr>
      <w:r>
        <w:t>智能化改造宜以保障老年人的人身安全为首要原则，优先配置直接关系老年人生命安全的智能安全防护类设施设备。紧急呼叫、火灾报警、燃气报警等关键安全设备宜稳定可靠，并符合下列内容：</w:t>
      </w:r>
    </w:p>
    <w:p w14:paraId="0ED802C2">
      <w:pPr>
        <w:pStyle w:val="24"/>
        <w:numPr>
          <w:ilvl w:val="0"/>
          <w:numId w:val="19"/>
        </w:numPr>
      </w:pPr>
      <w:r>
        <w:t>具备备用电源，供电中断时自动切换供电，保障报警功能持续可用；</w:t>
      </w:r>
    </w:p>
    <w:p w14:paraId="7FF3B41E">
      <w:pPr>
        <w:pStyle w:val="24"/>
        <w:numPr>
          <w:ilvl w:val="0"/>
          <w:numId w:val="19"/>
        </w:numPr>
      </w:pPr>
      <w:r>
        <w:t>具备本地独立运行能力，即不依赖外部网络与平台即可在现场完成报警触发；</w:t>
      </w:r>
    </w:p>
    <w:p w14:paraId="7FACBF38">
      <w:pPr>
        <w:pStyle w:val="24"/>
        <w:numPr>
          <w:ilvl w:val="0"/>
          <w:numId w:val="19"/>
        </w:numPr>
      </w:pPr>
      <w:r>
        <w:t>网络中断或平台离线时，不宜影响报警信号在本地的触发与本地报警。</w:t>
      </w:r>
    </w:p>
    <w:p w14:paraId="7BA5AEB6">
      <w:pPr>
        <w:pStyle w:val="49"/>
      </w:pPr>
      <w:r>
        <w:t>以人为本</w:t>
      </w:r>
    </w:p>
    <w:p w14:paraId="2D77D379">
      <w:pPr>
        <w:pStyle w:val="24"/>
      </w:pPr>
      <w:r>
        <w:t>改造宜充分尊重老年人及共同居住家庭成员的意愿，改造前宜征得老年人或其监护人同意，结合老年人的身体状况、生活习惯、认知能力和经济条件，制定个性化改造方案。</w:t>
      </w:r>
    </w:p>
    <w:p w14:paraId="7F3D7F22">
      <w:pPr>
        <w:pStyle w:val="24"/>
      </w:pPr>
      <w:r>
        <w:t>改造宜有利于发挥老年人自身尚存功能，支持其自立生活。对老年人能够独立完成且有助于维持自身功能的活动，不宜由智能化设备替代；对老年人难以独立完成的活动，宜通过智能化设备予以辅助或代偿。</w:t>
      </w:r>
    </w:p>
    <w:p w14:paraId="287920CB">
      <w:pPr>
        <w:pStyle w:val="49"/>
      </w:pPr>
      <w:r>
        <w:t>便捷易用</w:t>
      </w:r>
    </w:p>
    <w:p w14:paraId="36118771">
      <w:pPr>
        <w:pStyle w:val="24"/>
      </w:pPr>
      <w:r>
        <w:t>智能化产品和系统宜针对老年人的生理和认知特点进行适老化设计，操作简便、交互友好，关键操作具备明确的声光反馈。</w:t>
      </w:r>
    </w:p>
    <w:p w14:paraId="4495990D">
      <w:pPr>
        <w:pStyle w:val="24"/>
      </w:pPr>
      <w:r>
        <w:t>宜支持语音控制、手势控制等非接触式交互方式，并保留手动操作、物理按键等传统操作方式作为补充。</w:t>
      </w:r>
    </w:p>
    <w:p w14:paraId="00144C58">
      <w:pPr>
        <w:pStyle w:val="49"/>
      </w:pPr>
      <w:r>
        <w:t>需求导向</w:t>
      </w:r>
    </w:p>
    <w:p w14:paraId="6473D184">
      <w:pPr>
        <w:pStyle w:val="24"/>
      </w:pPr>
      <w:r>
        <w:t>改造宜以老年人实际需求为导向，根据老年人能力评估结果和环境条件，合理确定智能化改造项目和配置等级，避免过度改造或改造不足。</w:t>
      </w:r>
    </w:p>
    <w:p w14:paraId="23459C0E">
      <w:pPr>
        <w:pStyle w:val="24"/>
      </w:pPr>
      <w:r>
        <w:t>智能化改造项目宜按基础保障类和完善提升类分类实施，经济条件有限时优先实施基础保障类项目。</w:t>
      </w:r>
    </w:p>
    <w:p w14:paraId="7F73D9F5">
      <w:pPr>
        <w:pStyle w:val="49"/>
      </w:pPr>
      <w:r>
        <w:t>系统集成</w:t>
      </w:r>
    </w:p>
    <w:p w14:paraId="2BAAC0AE">
      <w:pPr>
        <w:pStyle w:val="24"/>
      </w:pPr>
      <w:r>
        <w:t>智能化改造宜统筹规划社区与居家两个层级的系统架构，实现设备互联、数据互通和功能协同。</w:t>
      </w:r>
    </w:p>
    <w:p w14:paraId="2269B614">
      <w:pPr>
        <w:pStyle w:val="24"/>
      </w:pPr>
      <w:r>
        <w:t>社区公共区域智能化系统与居家智能化系统宜统一数据标准和通信接口，支持与社区智慧养老服务平台（以下简称“平台”）对接。</w:t>
      </w:r>
    </w:p>
    <w:p w14:paraId="43D333D2">
      <w:pPr>
        <w:pStyle w:val="49"/>
      </w:pPr>
      <w:r>
        <w:t>数据安全与隐私保护</w:t>
      </w:r>
    </w:p>
    <w:p w14:paraId="77A16537">
      <w:pPr>
        <w:pStyle w:val="24"/>
      </w:pPr>
      <w:r>
        <w:t>智能化改造中涉及老年人个人信息的采集、存储、传输和使用，宜符合GB/T 35273和GB/T 41391的要求。</w:t>
      </w:r>
    </w:p>
    <w:p w14:paraId="4FF901A5">
      <w:pPr>
        <w:pStyle w:val="24"/>
      </w:pPr>
      <w:r>
        <w:t>宜采取数据加密、访问控制、去标识化等安全措施；涉及图像采集的设备，在无险情状态下宜对个人信息作模糊化处理。</w:t>
      </w:r>
    </w:p>
    <w:p w14:paraId="2E5ACF16">
      <w:pPr>
        <w:pStyle w:val="49"/>
      </w:pPr>
      <w:r>
        <w:t>渐进式改造</w:t>
      </w:r>
    </w:p>
    <w:p w14:paraId="23A4A073">
      <w:pPr>
        <w:pStyle w:val="24"/>
      </w:pPr>
      <w:r>
        <w:t>智能化改造宜根据老年人身体机能变化和技术发展，采取渐进式、可扩展的策略，合理利用潜伏设计，预留护理空间、设备安装空间及升级接口。</w:t>
      </w:r>
    </w:p>
    <w:p w14:paraId="50388E64">
      <w:pPr>
        <w:pStyle w:val="24"/>
      </w:pPr>
      <w:r>
        <w:t>宜选用可分阶段实施、可扩展升级的技术方案，满足老年人当前及未来的持续性需求。</w:t>
      </w:r>
    </w:p>
    <w:p w14:paraId="4E7070C2">
      <w:pPr>
        <w:pStyle w:val="50"/>
      </w:pPr>
      <w:bookmarkStart w:id="17" w:name="_Toc13825"/>
      <w:r>
        <w:t>改造评估与改造方案</w:t>
      </w:r>
      <w:bookmarkEnd w:id="17"/>
    </w:p>
    <w:p w14:paraId="3793E8F7">
      <w:pPr>
        <w:pStyle w:val="49"/>
      </w:pPr>
      <w:r>
        <w:t>基本要点</w:t>
      </w:r>
    </w:p>
    <w:p w14:paraId="4A7280A7">
      <w:pPr>
        <w:pStyle w:val="24"/>
        <w:ind w:left="0" w:leftChars="0" w:firstLine="0" w:firstLineChars="0"/>
        <w:rPr>
          <w:rFonts w:hint="eastAsia" w:ascii="黑体" w:hAnsi="黑体" w:eastAsia="黑体" w:cs="黑体"/>
          <w:b w:val="0"/>
          <w:bCs w:val="0"/>
        </w:rPr>
      </w:pPr>
      <w:r>
        <w:rPr>
          <w:rFonts w:hint="eastAsia" w:ascii="黑体" w:hAnsi="黑体" w:eastAsia="黑体" w:cs="黑体"/>
          <w:b w:val="0"/>
          <w:bCs w:val="0"/>
        </w:rPr>
        <w:t>5.1.1  评估内容</w:t>
      </w:r>
    </w:p>
    <w:p w14:paraId="34E9FE55">
      <w:pPr>
        <w:pStyle w:val="24"/>
      </w:pPr>
      <w:r>
        <w:t>改造前宜对老年人能力状况、家庭情况、居家及社区环境现状、器具与智能产品配置情况、改造需求及技术可行性等进行系统化评估。</w:t>
      </w:r>
    </w:p>
    <w:p w14:paraId="6FD87BDF">
      <w:pPr>
        <w:pStyle w:val="51"/>
        <w:bidi w:val="0"/>
      </w:pPr>
      <w:r>
        <w:t>评估人员</w:t>
      </w:r>
    </w:p>
    <w:p w14:paraId="1810A2CF">
      <w:pPr>
        <w:pStyle w:val="24"/>
      </w:pPr>
      <w:r>
        <w:t>评估宜由具备医学、护理、康复、建筑、智能化信息技术等相关专业背景的人员实施，评估人员宜经适老化改造评估培训合格。</w:t>
      </w:r>
    </w:p>
    <w:p w14:paraId="1CF08C91">
      <w:pPr>
        <w:pStyle w:val="51"/>
        <w:bidi w:val="0"/>
      </w:pPr>
      <w:r>
        <w:t>评估方法</w:t>
      </w:r>
    </w:p>
    <w:p w14:paraId="6ED79111">
      <w:pPr>
        <w:pStyle w:val="24"/>
      </w:pPr>
      <w:r>
        <w:t>评估宜采用现场勘查、问询、问卷调研、访谈交流等方法；开展评估时，宜在征得老年人同意后，留存房屋现状的图片或视频资料。</w:t>
      </w:r>
    </w:p>
    <w:p w14:paraId="534CF44E">
      <w:pPr>
        <w:pStyle w:val="51"/>
        <w:bidi w:val="0"/>
      </w:pPr>
      <w:r>
        <w:t>评估报告</w:t>
      </w:r>
    </w:p>
    <w:p w14:paraId="63A52D0E">
      <w:pPr>
        <w:pStyle w:val="24"/>
      </w:pPr>
      <w:r>
        <w:t>评估结果宜形成书面评估报告，评估报告宜包括老年人基本信息、能力评估结果、环境评估结果、智能化改造建议、费用估算及改造前的居家环境影像资料等。</w:t>
      </w:r>
    </w:p>
    <w:p w14:paraId="15095046">
      <w:pPr>
        <w:pStyle w:val="51"/>
        <w:bidi w:val="0"/>
      </w:pPr>
      <w:r>
        <w:t>社区评估意见征询</w:t>
      </w:r>
    </w:p>
    <w:p w14:paraId="3C31AAC5">
      <w:pPr>
        <w:pStyle w:val="24"/>
      </w:pPr>
      <w:r>
        <w:t>社区公共区域智能化改造评估宜听取社区居民委员会、物业服务企业、老年人及居民代表的意见。</w:t>
      </w:r>
    </w:p>
    <w:p w14:paraId="050626BF">
      <w:pPr>
        <w:pStyle w:val="49"/>
      </w:pPr>
      <w:r>
        <w:t>老年人能力评估</w:t>
      </w:r>
    </w:p>
    <w:p w14:paraId="34B28A04">
      <w:pPr>
        <w:pStyle w:val="51"/>
        <w:bidi w:val="0"/>
      </w:pPr>
      <w:r>
        <w:t>评估依据</w:t>
      </w:r>
    </w:p>
    <w:p w14:paraId="395AA45A">
      <w:pPr>
        <w:pStyle w:val="24"/>
      </w:pPr>
      <w:r>
        <w:t>宜按照GB/T 42195的要求对老年人能力进行评估，评估维度包括日常生活活动能力、基础运动能力、精神状态、感知觉与社会参与等。</w:t>
      </w:r>
    </w:p>
    <w:p w14:paraId="728447AC">
      <w:pPr>
        <w:pStyle w:val="51"/>
        <w:bidi w:val="0"/>
      </w:pPr>
      <w:r>
        <w:t>综合判断</w:t>
      </w:r>
    </w:p>
    <w:p w14:paraId="4F859E01">
      <w:pPr>
        <w:pStyle w:val="24"/>
      </w:pPr>
      <w:r>
        <w:t>评估宜结合老年人身高体重、既往疾病史、用药情况、认知功能，以及跌倒、坠床、走失等意外事件历史综合判断。</w:t>
      </w:r>
    </w:p>
    <w:p w14:paraId="383552B5">
      <w:pPr>
        <w:pStyle w:val="51"/>
        <w:bidi w:val="0"/>
      </w:pPr>
      <w:r>
        <w:t>评估结果与改造配置联动</w:t>
      </w:r>
    </w:p>
    <w:p w14:paraId="60B366CA">
      <w:pPr>
        <w:pStyle w:val="24"/>
      </w:pPr>
      <w:r>
        <w:t>评估结果宜与改造配置联动，改造配置侧重宜符合下列内容：</w:t>
      </w:r>
    </w:p>
    <w:p w14:paraId="34D0997F">
      <w:pPr>
        <w:pStyle w:val="24"/>
      </w:pPr>
      <w:r>
        <w:t>—— 能力完好老年人：以完善提升类配置为主，侧重智能环境控制、生活辅助与社交沟通；</w:t>
      </w:r>
    </w:p>
    <w:p w14:paraId="407B738B">
      <w:pPr>
        <w:pStyle w:val="24"/>
      </w:pPr>
      <w:r>
        <w:t>—— 能力轻度受损（轻度失能）老年人：基础保障类配置与完善提升类配置相结合，侧重安全防护与行为监测；</w:t>
      </w:r>
    </w:p>
    <w:p w14:paraId="36A101E0">
      <w:pPr>
        <w:pStyle w:val="24"/>
      </w:pPr>
      <w:r>
        <w:t>—— 能力中度受损（中度失能）老年人：宜加强安全防护、健康监测和照护支持类配置；</w:t>
      </w:r>
    </w:p>
    <w:p w14:paraId="4F043C82">
      <w:pPr>
        <w:pStyle w:val="24"/>
      </w:pPr>
      <w:r>
        <w:t>—— 认知障碍老年人：宜重点配置防走失定位、异常行为监测和安全监护类设施设备。</w:t>
      </w:r>
    </w:p>
    <w:p w14:paraId="7A197E21">
      <w:pPr>
        <w:pStyle w:val="24"/>
      </w:pPr>
      <w:r>
        <w:t>—— 对使用轮椅的老年人，宜评估其通行、回转空间需求及智能化设备与轮椅使用的适配性。</w:t>
      </w:r>
    </w:p>
    <w:p w14:paraId="2F77B7D4">
      <w:pPr>
        <w:pStyle w:val="49"/>
      </w:pPr>
      <w:r>
        <w:t>家庭情况评估</w:t>
      </w:r>
    </w:p>
    <w:p w14:paraId="63C2047B">
      <w:pPr>
        <w:pStyle w:val="24"/>
      </w:pPr>
      <w:r>
        <w:t>家庭情况评估宜包括：</w:t>
      </w:r>
    </w:p>
    <w:p w14:paraId="535A4747">
      <w:pPr>
        <w:pStyle w:val="24"/>
      </w:pPr>
      <w:r>
        <w:t>—— 老年人基本状况：年龄、性别、经济条件等；</w:t>
      </w:r>
    </w:p>
    <w:p w14:paraId="4D294B36">
      <w:pPr>
        <w:pStyle w:val="24"/>
      </w:pPr>
      <w:r>
        <w:t>—— 家庭成员状况：有无照护者、照护能力、照护时间等；</w:t>
      </w:r>
    </w:p>
    <w:p w14:paraId="26D922ED">
      <w:pPr>
        <w:pStyle w:val="24"/>
      </w:pPr>
      <w:r>
        <w:t>—— 老年人生活习惯：起居方式、作息规律、兴趣爱好等。</w:t>
      </w:r>
    </w:p>
    <w:p w14:paraId="6EDAECB4">
      <w:pPr>
        <w:pStyle w:val="24"/>
      </w:pPr>
      <w:r>
        <w:t>宜评估老年人及家庭成员对智能化技术的接受程度和使用能力，作为产品选型与培训安排的依据。</w:t>
      </w:r>
    </w:p>
    <w:p w14:paraId="32A80E7F">
      <w:pPr>
        <w:pStyle w:val="49"/>
      </w:pPr>
      <w:r>
        <w:t>环境现状评估</w:t>
      </w:r>
    </w:p>
    <w:p w14:paraId="234F4A5A">
      <w:pPr>
        <w:pStyle w:val="51"/>
        <w:bidi w:val="0"/>
      </w:pPr>
      <w:r>
        <w:t>居住建筑信息评估</w:t>
      </w:r>
    </w:p>
    <w:p w14:paraId="6FFE35BA">
      <w:pPr>
        <w:pStyle w:val="24"/>
      </w:pPr>
      <w:r>
        <w:t>居住建筑信息评估宜包括建筑形态（楼房/平房/院落）、位置、楼龄、楼层、结构类型、户型、建筑面积、产权状况等。</w:t>
      </w:r>
    </w:p>
    <w:p w14:paraId="7ECE9B9B">
      <w:pPr>
        <w:pStyle w:val="51"/>
        <w:bidi w:val="0"/>
      </w:pPr>
      <w:r>
        <w:t xml:space="preserve"> 居住空间评估</w:t>
      </w:r>
    </w:p>
    <w:p w14:paraId="01387B20">
      <w:pPr>
        <w:pStyle w:val="24"/>
      </w:pPr>
      <w:r>
        <w:t>居住空间评估宜覆盖门厅（玄关）、起居室（厅）、卧室、厨房、卫生间、阳台等功能空间，评估内容包括空间布局、通行条件、采光通风及现有设备设施等。</w:t>
      </w:r>
    </w:p>
    <w:p w14:paraId="7E42BF8C">
      <w:pPr>
        <w:pStyle w:val="51"/>
        <w:bidi w:val="0"/>
      </w:pPr>
      <w:r>
        <w:t>电气与网络条件评估</w:t>
      </w:r>
    </w:p>
    <w:p w14:paraId="583520AE">
      <w:pPr>
        <w:pStyle w:val="24"/>
      </w:pPr>
      <w:r>
        <w:t>电气与网络条件评估宜包括：</w:t>
      </w:r>
    </w:p>
    <w:p w14:paraId="2EC0DF57">
      <w:pPr>
        <w:pStyle w:val="24"/>
      </w:pPr>
      <w:r>
        <w:t>—— 电气线路状况：线路老化、破损、荷载容量、插座与开关配置等；</w:t>
      </w:r>
    </w:p>
    <w:p w14:paraId="70FFFB13">
      <w:pPr>
        <w:pStyle w:val="24"/>
      </w:pPr>
      <w:r>
        <w:t>—— 网络通信条件：宽带接入、室内Wi-Fi覆盖、移动通信信号及NB-IoT等物联网网络覆盖情况；</w:t>
      </w:r>
    </w:p>
    <w:p w14:paraId="0A915C76">
      <w:pPr>
        <w:pStyle w:val="24"/>
      </w:pPr>
      <w:r>
        <w:t>—— 设备安装条件：墙体材质、走线条件、安装空间、地面平整度等。</w:t>
      </w:r>
    </w:p>
    <w:p w14:paraId="0590C791">
      <w:pPr>
        <w:pStyle w:val="51"/>
        <w:bidi w:val="0"/>
      </w:pPr>
      <w:r>
        <w:t>社区公共环境评估</w:t>
      </w:r>
    </w:p>
    <w:p w14:paraId="0E8286AD">
      <w:pPr>
        <w:pStyle w:val="24"/>
      </w:pPr>
      <w:r>
        <w:t>社区公共环境评估宜包括社区出入口、道路、活动场地、休息设施、楼栋出入口、电梯、公共走廊等区域的现状及已配置的智能化设施情况；社区公共环境评估适用于楼房社区及平房社区（含农村社区），平房社区宜增加院落及户间出入口、室外通行路径、室外厕所与取水点路径、院墙与门户安防条件等评估内容。</w:t>
      </w:r>
    </w:p>
    <w:p w14:paraId="08E71DD3">
      <w:pPr>
        <w:pStyle w:val="49"/>
      </w:pPr>
      <w:r>
        <w:t>智能化需求评估</w:t>
      </w:r>
    </w:p>
    <w:p w14:paraId="7A82EBD8">
      <w:pPr>
        <w:pStyle w:val="51"/>
        <w:bidi w:val="0"/>
      </w:pPr>
      <w:r>
        <w:t>智能化需求识别</w:t>
      </w:r>
    </w:p>
    <w:p w14:paraId="044A7A12">
      <w:pPr>
        <w:pStyle w:val="24"/>
      </w:pPr>
      <w:r>
        <w:t>宜根据老年人能力评估和环境评估结果，识别老年人在智能安全防护、智能健康监测、智能环境控制、智能生活辅助、智能社交与精神慰藉等方面的需求，形成改造项目清单。</w:t>
      </w:r>
    </w:p>
    <w:p w14:paraId="3AC7F919">
      <w:pPr>
        <w:pStyle w:val="51"/>
        <w:bidi w:val="0"/>
      </w:pPr>
      <w:r>
        <w:t>改造项目分类与实施优先级</w:t>
      </w:r>
    </w:p>
    <w:p w14:paraId="60EB6415">
      <w:pPr>
        <w:pStyle w:val="24"/>
      </w:pPr>
      <w:r>
        <w:t>宜将智能化改造项目分为基础保障类和完善提升类，并结合老年人意愿和经济承受能力排定实施优先级，基础保障类项目优先实施。</w:t>
      </w:r>
    </w:p>
    <w:p w14:paraId="1AE8205E">
      <w:pPr>
        <w:pStyle w:val="51"/>
        <w:bidi w:val="0"/>
      </w:pPr>
      <w:r>
        <w:t>既有改造成果衔接</w:t>
      </w:r>
    </w:p>
    <w:p w14:paraId="76B41AE0">
      <w:pPr>
        <w:pStyle w:val="24"/>
      </w:pPr>
      <w:r>
        <w:t>宜评估既有适老化改造成果（如扶手、防滑地面、无障碍设施等）与智能化改造项目的衔接与协同，避免重复改造。</w:t>
      </w:r>
    </w:p>
    <w:p w14:paraId="7F2D3C9A">
      <w:pPr>
        <w:pStyle w:val="49"/>
      </w:pPr>
      <w:r>
        <w:t>技术与经济可行性评估</w:t>
      </w:r>
    </w:p>
    <w:p w14:paraId="46164406">
      <w:pPr>
        <w:pStyle w:val="51"/>
        <w:bidi w:val="0"/>
      </w:pPr>
      <w:r>
        <w:t>技术可行性评估</w:t>
      </w:r>
    </w:p>
    <w:p w14:paraId="08D78EB4">
      <w:pPr>
        <w:pStyle w:val="24"/>
      </w:pPr>
      <w:r>
        <w:t>宜评估拟选智能化产品和系统的技术成熟度、兼容性、可维护性与可扩展性。</w:t>
      </w:r>
    </w:p>
    <w:p w14:paraId="1272054A">
      <w:pPr>
        <w:pStyle w:val="51"/>
        <w:bidi w:val="0"/>
      </w:pPr>
      <w:r>
        <w:t>经济合理性评估</w:t>
      </w:r>
    </w:p>
    <w:p w14:paraId="155FD524">
      <w:pPr>
        <w:pStyle w:val="24"/>
      </w:pPr>
      <w:r>
        <w:t>宜评估改造方案的经济合理性，宜按全生命周期核算设备采购、安装施工、网络通信、系统运维等成本。</w:t>
      </w:r>
    </w:p>
    <w:p w14:paraId="0ECDF75A">
      <w:pPr>
        <w:pStyle w:val="51"/>
        <w:bidi w:val="0"/>
      </w:pPr>
      <w:r>
        <w:t>可扩展性评估</w:t>
      </w:r>
    </w:p>
    <w:p w14:paraId="548C7A29">
      <w:pPr>
        <w:pStyle w:val="24"/>
      </w:pPr>
      <w:r>
        <w:t>宜评估改造方案的可扩展性，预留后续功能升级和设备扩展的技术接口。</w:t>
      </w:r>
    </w:p>
    <w:p w14:paraId="6F31AEB4">
      <w:pPr>
        <w:pStyle w:val="49"/>
      </w:pPr>
      <w:r>
        <w:t>改造方案</w:t>
      </w:r>
    </w:p>
    <w:p w14:paraId="21129CBB">
      <w:pPr>
        <w:pStyle w:val="24"/>
      </w:pPr>
      <w:r>
        <w:t>宜根据评估结果制定改造方案，方案内容宜包括改造目标、改造项目与内容、智能化产品清单及技术参数、实施计划、费用明细、质保与售后服务安排及家庭配合事项等。</w:t>
      </w:r>
    </w:p>
    <w:p w14:paraId="526A4E1E">
      <w:pPr>
        <w:pStyle w:val="24"/>
      </w:pPr>
      <w:r>
        <w:t>改造方案设计宜符合下列内容：</w:t>
      </w:r>
    </w:p>
    <w:p w14:paraId="16A4E765">
      <w:pPr>
        <w:pStyle w:val="24"/>
      </w:pPr>
      <w:r>
        <w:t>—— 以降低老年人居家及社区生活中的通行障碍、操作障碍及信息感知障碍为主要目标；</w:t>
      </w:r>
    </w:p>
    <w:p w14:paraId="2D47DCE3">
      <w:pPr>
        <w:pStyle w:val="24"/>
      </w:pPr>
      <w:r>
        <w:t>—— 合理利用潜伏设计，预留护理空间及适老设备配置空间；</w:t>
      </w:r>
    </w:p>
    <w:p w14:paraId="2C095948">
      <w:pPr>
        <w:pStyle w:val="24"/>
      </w:pPr>
      <w:r>
        <w:t>—— 选用的原材料、成品及设备宜为合格产品，符合国家现行环保与安全标准；</w:t>
      </w:r>
    </w:p>
    <w:p w14:paraId="44A12C15">
      <w:pPr>
        <w:pStyle w:val="24"/>
      </w:pPr>
      <w:r>
        <w:t>—— 系统平台及客户端操作简单、便于维护；</w:t>
      </w:r>
    </w:p>
    <w:p w14:paraId="0CCD108A">
      <w:pPr>
        <w:pStyle w:val="24"/>
      </w:pPr>
      <w:r>
        <w:t>—— 鼓励应用新技术、新材料及快速施工安装技术。</w:t>
      </w:r>
    </w:p>
    <w:p w14:paraId="03C5CD81">
      <w:pPr>
        <w:pStyle w:val="24"/>
      </w:pPr>
      <w:r>
        <w:t>改造方案宜经改造实施单位、项目委托方（出资方）及老年人或相关第三方共同确认并签字。</w:t>
      </w:r>
    </w:p>
    <w:p w14:paraId="7B778D94">
      <w:pPr>
        <w:pStyle w:val="50"/>
      </w:pPr>
      <w:bookmarkStart w:id="18" w:name="_Toc24543"/>
      <w:r>
        <w:t>社区公共区域智能化改造</w:t>
      </w:r>
      <w:bookmarkEnd w:id="18"/>
    </w:p>
    <w:p w14:paraId="094A1285">
      <w:pPr>
        <w:pStyle w:val="49"/>
      </w:pPr>
      <w:r>
        <w:t>基本要点</w:t>
      </w:r>
    </w:p>
    <w:p w14:paraId="3AF21EA3">
      <w:pPr>
        <w:pStyle w:val="51"/>
        <w:bidi w:val="0"/>
      </w:pPr>
      <w:r>
        <w:t>统筹实施</w:t>
      </w:r>
    </w:p>
    <w:p w14:paraId="45BD2CA6">
      <w:pPr>
        <w:pStyle w:val="24"/>
      </w:pPr>
      <w:r>
        <w:t>社区公共区域智能化改造宜与老旧小区改造、无障碍环境建设、养老服务体系建设项目统筹实施，与社区既有基础设施相协调，不宜影响社区正常生活秩序和消防疏散安全。</w:t>
      </w:r>
    </w:p>
    <w:p w14:paraId="60BB6E7C">
      <w:pPr>
        <w:pStyle w:val="51"/>
        <w:bidi w:val="0"/>
      </w:pPr>
      <w:r>
        <w:t>改造范围</w:t>
      </w:r>
    </w:p>
    <w:p w14:paraId="5C3CF3C2">
      <w:pPr>
        <w:pStyle w:val="24"/>
      </w:pPr>
      <w:r>
        <w:t>改造宜覆盖从社区出入口到居民楼栋出入口、户门的公共活动路径，重点关注老年人高频活动区域，包括社区出入口、主要道路、活动场地、休息区、楼栋出入口、电梯厅、楼梯间、公共走廊等。</w:t>
      </w:r>
    </w:p>
    <w:p w14:paraId="632EE943">
      <w:pPr>
        <w:pStyle w:val="51"/>
        <w:bidi w:val="0"/>
      </w:pPr>
      <w:r>
        <w:t>系统对接</w:t>
      </w:r>
    </w:p>
    <w:p w14:paraId="1294BBB4">
      <w:pPr>
        <w:pStyle w:val="24"/>
      </w:pPr>
      <w:r>
        <w:t>社区公共区域智能化系统宜与社区物业管理平台对接，并与平台实现信息共享和联动响应。</w:t>
      </w:r>
    </w:p>
    <w:p w14:paraId="49DB630E">
      <w:pPr>
        <w:pStyle w:val="49"/>
      </w:pPr>
      <w:r>
        <w:t>智能出入管理</w:t>
      </w:r>
    </w:p>
    <w:p w14:paraId="6719CBE5">
      <w:pPr>
        <w:pStyle w:val="51"/>
        <w:bidi w:val="0"/>
      </w:pPr>
      <w:r>
        <w:t>社区门禁</w:t>
      </w:r>
    </w:p>
    <w:p w14:paraId="2241FF25">
      <w:pPr>
        <w:pStyle w:val="24"/>
      </w:pPr>
      <w:r>
        <w:t>社区出入口宜配置智能门禁系统，支持人脸识别、感应卡、二维码等无接触识别方式，并保留物理钥匙等传统开门方式作为备用。</w:t>
      </w:r>
    </w:p>
    <w:p w14:paraId="33BB06F9">
      <w:pPr>
        <w:pStyle w:val="51"/>
        <w:bidi w:val="0"/>
      </w:pPr>
      <w:r>
        <w:t>单元门访客对讲</w:t>
      </w:r>
    </w:p>
    <w:p w14:paraId="32235B32">
      <w:pPr>
        <w:pStyle w:val="24"/>
      </w:pPr>
      <w:r>
        <w:t>单元出入口宜配置访客对讲系统，并符合下列内容：</w:t>
      </w:r>
    </w:p>
    <w:p w14:paraId="46F6E634">
      <w:pPr>
        <w:pStyle w:val="24"/>
      </w:pPr>
      <w:r>
        <w:t>a)  设置语音、声光多种提示相结合的门铃，兼顾听力、视力衰退老年人的感知需求；</w:t>
      </w:r>
    </w:p>
    <w:p w14:paraId="38C51E99">
      <w:pPr>
        <w:pStyle w:val="24"/>
      </w:pPr>
      <w:r>
        <w:t>b)  设置可视对讲，支持远程查看与远程开门；</w:t>
      </w:r>
    </w:p>
    <w:p w14:paraId="5CE67089">
      <w:pPr>
        <w:pStyle w:val="24"/>
      </w:pPr>
      <w:r>
        <w:t>c)  采用人脸识别、感应卡等无接触开启方式。</w:t>
      </w:r>
    </w:p>
    <w:p w14:paraId="4D3E49E6">
      <w:pPr>
        <w:pStyle w:val="51"/>
        <w:bidi w:val="0"/>
      </w:pPr>
      <w:r>
        <w:t>无障碍通行模式</w:t>
      </w:r>
    </w:p>
    <w:p w14:paraId="05DE6F85">
      <w:pPr>
        <w:pStyle w:val="24"/>
      </w:pPr>
      <w:r>
        <w:t>门禁系统宜为行动不便老年人设置延迟关门时间和无障碍通行模式。</w:t>
      </w:r>
    </w:p>
    <w:p w14:paraId="1EFF341E">
      <w:pPr>
        <w:pStyle w:val="51"/>
        <w:bidi w:val="0"/>
      </w:pPr>
      <w:r>
        <w:t>防走失提醒</w:t>
      </w:r>
    </w:p>
    <w:p w14:paraId="7F0F0EDB">
      <w:pPr>
        <w:pStyle w:val="24"/>
      </w:pPr>
      <w:r>
        <w:t>宜结合门禁系统为认知障碍老年人提供防走失提醒功能，当其独自离开社区时，自动将信息通知家属或社区服务人员。</w:t>
      </w:r>
    </w:p>
    <w:p w14:paraId="553A199F">
      <w:pPr>
        <w:pStyle w:val="51"/>
        <w:bidi w:val="0"/>
      </w:pPr>
      <w:r>
        <w:t>便民设施</w:t>
      </w:r>
    </w:p>
    <w:p w14:paraId="6BF54F3A">
      <w:pPr>
        <w:pStyle w:val="24"/>
      </w:pPr>
      <w:r>
        <w:t>智能物流柜等便民设施宜设置在小区入口或物业服务中心附近，安装牢固，前方留有不小于1 m的投取空间，配置照明、防火、防雷、遮雨设施，且不宜遮挡消防设施及安全疏散通道。</w:t>
      </w:r>
    </w:p>
    <w:p w14:paraId="70D279AD">
      <w:pPr>
        <w:pStyle w:val="49"/>
      </w:pPr>
      <w:r>
        <w:t>公共区域安全监测</w:t>
      </w:r>
    </w:p>
    <w:p w14:paraId="6634822F">
      <w:pPr>
        <w:pStyle w:val="51"/>
        <w:bidi w:val="0"/>
      </w:pPr>
      <w:r>
        <w:t>视频监控</w:t>
      </w:r>
    </w:p>
    <w:p w14:paraId="7489FCA2">
      <w:pPr>
        <w:pStyle w:val="24"/>
      </w:pPr>
      <w:r>
        <w:t>社区公共活动场所、单元出入口等位置宜设置视频监控设施，视频图像信号宜传输至监控主机及显示设备，并宜具备跌倒识别、异常行为分析等功能；监控涉及老年人个人图像信息的，宜作模糊化处理。</w:t>
      </w:r>
    </w:p>
    <w:p w14:paraId="7E158EDE">
      <w:pPr>
        <w:pStyle w:val="51"/>
        <w:bidi w:val="0"/>
      </w:pPr>
      <w:r>
        <w:t>智能感烟探测</w:t>
      </w:r>
    </w:p>
    <w:p w14:paraId="7767C60D">
      <w:pPr>
        <w:pStyle w:val="24"/>
      </w:pPr>
      <w:r>
        <w:t>楼栋出入口、电梯厅、公共走廊、楼梯间等区域宜设置智能感烟探测器；具备条件的社区宜按GB 50116相关要求实施火灾自动报警系统改造。</w:t>
      </w:r>
    </w:p>
    <w:p w14:paraId="0C309FCE">
      <w:pPr>
        <w:pStyle w:val="51"/>
        <w:bidi w:val="0"/>
      </w:pPr>
      <w:r>
        <w:t>电梯运行监测</w:t>
      </w:r>
    </w:p>
    <w:p w14:paraId="6E3BE977">
      <w:pPr>
        <w:pStyle w:val="24"/>
      </w:pPr>
      <w:r>
        <w:t>电梯宜配置智能运行监测功能，具备故障自动报警、困人自动呼救等功能，宜采用无接触乘梯方式。</w:t>
      </w:r>
    </w:p>
    <w:p w14:paraId="0AA4D858">
      <w:pPr>
        <w:pStyle w:val="51"/>
        <w:bidi w:val="0"/>
      </w:pPr>
      <w:r>
        <w:t>智能照明</w:t>
      </w:r>
    </w:p>
    <w:p w14:paraId="67E180D8">
      <w:pPr>
        <w:pStyle w:val="24"/>
      </w:pPr>
      <w:r>
        <w:t>社区公共区域宜配置智能照明，实现人来灯亮、人走灯灭的自动控制，照度宜满足老年人视觉需求。</w:t>
      </w:r>
    </w:p>
    <w:p w14:paraId="30E24DF6">
      <w:pPr>
        <w:pStyle w:val="51"/>
        <w:bidi w:val="0"/>
      </w:pPr>
      <w:r>
        <w:t>单元门未关门报警</w:t>
      </w:r>
    </w:p>
    <w:p w14:paraId="6C1508B8">
      <w:pPr>
        <w:pStyle w:val="24"/>
      </w:pPr>
      <w:r>
        <w:t>单元门宜设置未关门报警装置，防止门体未关闭带来的安全隐患。</w:t>
      </w:r>
    </w:p>
    <w:p w14:paraId="01E0F744">
      <w:pPr>
        <w:pStyle w:val="49"/>
      </w:pPr>
      <w:r>
        <w:t>紧急求助系统</w:t>
      </w:r>
    </w:p>
    <w:p w14:paraId="49B3D447">
      <w:pPr>
        <w:pStyle w:val="51"/>
        <w:bidi w:val="0"/>
      </w:pPr>
      <w:r>
        <w:t>紧急求助装置设置</w:t>
      </w:r>
    </w:p>
    <w:p w14:paraId="3ABE832F">
      <w:pPr>
        <w:pStyle w:val="24"/>
      </w:pPr>
      <w:r>
        <w:t>社区公共活动区、休息区、公共卫生间、电梯厅、走廊等区域宜设置紧急求助报警装置，安装位置宜醒目、便于老年人触及和操作，并具有鲜明的标识。</w:t>
      </w:r>
    </w:p>
    <w:p w14:paraId="5383A0CD">
      <w:pPr>
        <w:pStyle w:val="51"/>
        <w:bidi w:val="0"/>
      </w:pPr>
      <w:r>
        <w:t>报警信号传送</w:t>
      </w:r>
    </w:p>
    <w:p w14:paraId="0CA81D52">
      <w:pPr>
        <w:pStyle w:val="24"/>
      </w:pPr>
      <w:r>
        <w:t>紧急求助报警装置宜能一键触发，支持语音对讲，报警信号宜同步传送至社区监控室或物业服务中心。</w:t>
      </w:r>
    </w:p>
    <w:p w14:paraId="2623B0D0">
      <w:pPr>
        <w:pStyle w:val="51"/>
        <w:bidi w:val="0"/>
      </w:pPr>
      <w:r>
        <w:t>值守与闭环管理</w:t>
      </w:r>
    </w:p>
    <w:p w14:paraId="252AA941">
      <w:pPr>
        <w:pStyle w:val="24"/>
      </w:pPr>
      <w:r>
        <w:t>紧急求助系统宜具备24小时值守、报警记录、响应跟踪和闭环管理功能。</w:t>
      </w:r>
    </w:p>
    <w:p w14:paraId="017DB1D4">
      <w:pPr>
        <w:pStyle w:val="49"/>
      </w:pPr>
      <w:r>
        <w:t>智能导引与信息服务</w:t>
      </w:r>
    </w:p>
    <w:p w14:paraId="1553D0DD">
      <w:pPr>
        <w:pStyle w:val="51"/>
        <w:bidi w:val="0"/>
      </w:pPr>
      <w:r>
        <w:t>电子信息发布屏</w:t>
      </w:r>
    </w:p>
    <w:p w14:paraId="5FC9464A">
      <w:pPr>
        <w:pStyle w:val="24"/>
      </w:pPr>
      <w:r>
        <w:t>社区主要出入口、公共活动区域宜设置电子信息发布屏，发布社区服务信息、活动通知、天气预报及紧急通知等；显示界面宜采用大字体、高对比度设计，信息内容简洁明了。</w:t>
      </w:r>
    </w:p>
    <w:p w14:paraId="5EFD60E2">
      <w:pPr>
        <w:pStyle w:val="51"/>
        <w:bidi w:val="0"/>
      </w:pPr>
      <w:r>
        <w:t>社区标识系统</w:t>
      </w:r>
    </w:p>
    <w:p w14:paraId="20FAD40C">
      <w:pPr>
        <w:pStyle w:val="24"/>
      </w:pPr>
      <w:r>
        <w:t>社区标识系统宜结合夜间照明、自发光材料或语音信息等手段增强导视功能，标识照明照度不宜低于50 lx；标识边角宜作圆弧处理，避免眩光。</w:t>
      </w:r>
    </w:p>
    <w:p w14:paraId="44D134EE">
      <w:pPr>
        <w:pStyle w:val="51"/>
        <w:bidi w:val="0"/>
      </w:pPr>
      <w:r>
        <w:t>智能导引设施</w:t>
      </w:r>
    </w:p>
    <w:p w14:paraId="2D1855D5">
      <w:pPr>
        <w:pStyle w:val="24"/>
      </w:pPr>
      <w:r>
        <w:t>宜在社区主要路径设置智能导引设施，为老年人提供路径导航和设施位置指引。</w:t>
      </w:r>
    </w:p>
    <w:p w14:paraId="53FAF81D">
      <w:pPr>
        <w:pStyle w:val="49"/>
      </w:pPr>
      <w:r>
        <w:t>社区智慧养老服务平台</w:t>
      </w:r>
    </w:p>
    <w:p w14:paraId="43000BC4">
      <w:pPr>
        <w:pStyle w:val="51"/>
        <w:bidi w:val="0"/>
      </w:pPr>
      <w:r>
        <w:t>平台建设与接入</w:t>
      </w:r>
    </w:p>
    <w:p w14:paraId="1A8EEEBE">
      <w:pPr>
        <w:pStyle w:val="24"/>
      </w:pPr>
      <w:r>
        <w:t>宜由社区管理机构或养老服务运营方建设或接入社区智慧养老服务平台，以老年人安全监护、健康管理、医养结合服务为主要内容，对社区内服务对象、服务内容、监护数据进行统筹管理。</w:t>
      </w:r>
    </w:p>
    <w:p w14:paraId="4243A771">
      <w:pPr>
        <w:pStyle w:val="51"/>
        <w:bidi w:val="0"/>
      </w:pPr>
      <w:r>
        <w:t>设备数据接入</w:t>
      </w:r>
    </w:p>
    <w:p w14:paraId="7969409B">
      <w:pPr>
        <w:pStyle w:val="24"/>
      </w:pPr>
      <w:r>
        <w:t>平台宜支持居家智能化设备的数据接入，具备与紧急呼叫、健康监测、行为监测等设备数据互通的接口，实现社区—居家联动照护。</w:t>
      </w:r>
    </w:p>
    <w:p w14:paraId="31E6C992">
      <w:pPr>
        <w:pStyle w:val="51"/>
        <w:bidi w:val="0"/>
      </w:pPr>
      <w:r>
        <w:t>平台服务功能</w:t>
      </w:r>
    </w:p>
    <w:p w14:paraId="41FF4B05">
      <w:pPr>
        <w:pStyle w:val="24"/>
      </w:pPr>
      <w:r>
        <w:t>平台服务功能宜包括：</w:t>
      </w:r>
    </w:p>
    <w:p w14:paraId="74F6F1FA">
      <w:pPr>
        <w:pStyle w:val="24"/>
      </w:pPr>
      <w:r>
        <w:t>a)  紧急呼叫与安全监护：报警受理、派单处置、处理结果记录与回访；</w:t>
      </w:r>
    </w:p>
    <w:p w14:paraId="39E76325">
      <w:pPr>
        <w:pStyle w:val="24"/>
      </w:pPr>
      <w:r>
        <w:t>b)  健康管理：健康数据采集分析、异常预警、健康档案管理；</w:t>
      </w:r>
    </w:p>
    <w:p w14:paraId="42530CA1">
      <w:pPr>
        <w:pStyle w:val="24"/>
      </w:pPr>
      <w:r>
        <w:t>c)  主动关怀：根据老年人个人情况制定个性化关怀方式和频次；</w:t>
      </w:r>
    </w:p>
    <w:p w14:paraId="40D06891">
      <w:pPr>
        <w:pStyle w:val="24"/>
      </w:pPr>
      <w:r>
        <w:t>d)  服务预约：助餐、助浴、助洁、助行、巡访关爱等服务在线预约与工单管理；</w:t>
      </w:r>
    </w:p>
    <w:p w14:paraId="3A5E4CD5">
      <w:pPr>
        <w:pStyle w:val="24"/>
      </w:pPr>
      <w:r>
        <w:t>e)  活动管理与信息发布：社区活动组织发布、通知公告推送。</w:t>
      </w:r>
    </w:p>
    <w:p w14:paraId="0FA2A782">
      <w:pPr>
        <w:pStyle w:val="51"/>
        <w:bidi w:val="0"/>
      </w:pPr>
      <w:r>
        <w:t>多端应用</w:t>
      </w:r>
    </w:p>
    <w:p w14:paraId="1B572FA2">
      <w:pPr>
        <w:pStyle w:val="24"/>
      </w:pPr>
      <w:r>
        <w:t>平台宜提供多端应用，包括面向服务机构的电脑端管理系统和面向老年人及其家属的适老化移动端应用；移动端界面宜符合适老化要求，支持大字体、大图标和语音辅助操作。</w:t>
      </w:r>
    </w:p>
    <w:p w14:paraId="1374D1D2">
      <w:pPr>
        <w:pStyle w:val="51"/>
        <w:bidi w:val="0"/>
        <w:rPr>
          <w:b w:val="0"/>
          <w:bCs w:val="0"/>
        </w:rPr>
      </w:pPr>
      <w:r>
        <w:rPr>
          <w:b w:val="0"/>
          <w:bCs w:val="0"/>
        </w:rPr>
        <w:t>医养结合接口</w:t>
      </w:r>
    </w:p>
    <w:p w14:paraId="7F99AE6F">
      <w:pPr>
        <w:pStyle w:val="24"/>
      </w:pPr>
      <w:r>
        <w:t>平台宜预留与社区卫生服务机构、医院养老服务信息系统对接的网络接口，支撑医养结合服务。</w:t>
      </w:r>
    </w:p>
    <w:p w14:paraId="1AA0D38C">
      <w:pPr>
        <w:pStyle w:val="51"/>
        <w:bidi w:val="0"/>
      </w:pPr>
      <w:r>
        <w:t>物联网通信接入</w:t>
      </w:r>
    </w:p>
    <w:p w14:paraId="6DC4F381">
      <w:pPr>
        <w:pStyle w:val="24"/>
      </w:pPr>
      <w:r>
        <w:t>智能化监护设备宜采用NB-IoT、Cat.1、4G/5G等物联网通信技术接入平台；设备宜具备断线重连和本地数据缓存功能，网络恢复后自动续传；平台宜具备设备在线状态监测功能，设备离线超过预设时限时自动提示运维人员处理。</w:t>
      </w:r>
    </w:p>
    <w:p w14:paraId="37589265">
      <w:pPr>
        <w:pStyle w:val="51"/>
        <w:bidi w:val="0"/>
      </w:pPr>
      <w:r>
        <w:t>数据安全与档案管理</w:t>
      </w:r>
    </w:p>
    <w:p w14:paraId="40B8B826">
      <w:pPr>
        <w:pStyle w:val="24"/>
      </w:pPr>
      <w:r>
        <w:t>平台数据传递宜安全可靠，数据通信传输宜符合国家信息安全有关要求；平台宜建立老年人电子健康档案和服务档案，档案管理宜符合MZ/T 217的要求。</w:t>
      </w:r>
    </w:p>
    <w:p w14:paraId="276E45F5">
      <w:pPr>
        <w:pStyle w:val="50"/>
      </w:pPr>
      <w:bookmarkStart w:id="19" w:name="_Toc32466"/>
      <w:r>
        <w:t>居家环境智能化改造</w:t>
      </w:r>
      <w:bookmarkEnd w:id="19"/>
    </w:p>
    <w:p w14:paraId="60C2D89B">
      <w:pPr>
        <w:pStyle w:val="49"/>
      </w:pPr>
      <w:r>
        <w:t>基本要点</w:t>
      </w:r>
    </w:p>
    <w:p w14:paraId="48B40D81">
      <w:pPr>
        <w:pStyle w:val="51"/>
        <w:bidi w:val="0"/>
      </w:pPr>
      <w:r>
        <w:t>“一户一策”改造方案</w:t>
      </w:r>
    </w:p>
    <w:p w14:paraId="50A941AD">
      <w:pPr>
        <w:pStyle w:val="24"/>
      </w:pPr>
      <w:r>
        <w:t>居家环境智能化改造宜根据评估结果，按照"一户一策"原则制定个性化改造方案，覆盖门厅、起居室（厅）、卧室、厨房、卫生间、阳台等主要功能空间。</w:t>
      </w:r>
    </w:p>
    <w:p w14:paraId="69E24840">
      <w:pPr>
        <w:pStyle w:val="51"/>
        <w:bidi w:val="0"/>
      </w:pPr>
      <w:r>
        <w:t>基础条件完善</w:t>
      </w:r>
    </w:p>
    <w:p w14:paraId="19F2073E">
      <w:pPr>
        <w:pStyle w:val="24"/>
      </w:pPr>
      <w:r>
        <w:t>改造前宜完成供电、网络等基础条件的检查与完善，保障智能化设备的供电与联网需求。</w:t>
      </w:r>
    </w:p>
    <w:p w14:paraId="3DA296D7">
      <w:pPr>
        <w:pStyle w:val="51"/>
        <w:bidi w:val="0"/>
      </w:pPr>
      <w:r>
        <w:t>断电应急保护与本地报警</w:t>
      </w:r>
    </w:p>
    <w:p w14:paraId="418BD682">
      <w:pPr>
        <w:pStyle w:val="24"/>
      </w:pPr>
      <w:r>
        <w:t>智能化系统宜具备断电应急保护功能；紧急呼叫、火灾报警、燃气报警等关键安全设备宜配备备用电源，并具备本地报警能力；网络故障时，不宜影响报警信号在本地的触发与本地报警。</w:t>
      </w:r>
    </w:p>
    <w:p w14:paraId="1E383A64">
      <w:pPr>
        <w:pStyle w:val="51"/>
        <w:bidi w:val="0"/>
      </w:pPr>
      <w:r>
        <w:t>与平台对接</w:t>
      </w:r>
    </w:p>
    <w:p w14:paraId="2CB92BF5">
      <w:pPr>
        <w:pStyle w:val="24"/>
      </w:pPr>
      <w:r>
        <w:t>居家智能化系统宜与平台对接，实现社区—居家联动。</w:t>
      </w:r>
    </w:p>
    <w:p w14:paraId="013BCAEE">
      <w:pPr>
        <w:pStyle w:val="49"/>
      </w:pPr>
      <w:r>
        <w:t>智能安全防护</w:t>
      </w:r>
    </w:p>
    <w:p w14:paraId="029CD51F">
      <w:pPr>
        <w:pStyle w:val="51"/>
      </w:pPr>
      <w:r>
        <w:t>入户安全</w:t>
      </w:r>
    </w:p>
    <w:p w14:paraId="6EBD5CF0">
      <w:pPr>
        <w:pStyle w:val="57"/>
      </w:pPr>
      <w:r>
        <w:t>入户门宜配置智能门锁，支持指纹、感应卡、密码、人脸等多种开锁方式，并保留机械钥匙作为应急备用；智能门锁宜具备防撬报警、试错锁定、低电量提醒功能，低电量时宜以声光和远程方式提醒。</w:t>
      </w:r>
    </w:p>
    <w:p w14:paraId="7780A00A">
      <w:pPr>
        <w:pStyle w:val="57"/>
      </w:pPr>
      <w:r>
        <w:t>入户处宜配置智能门铃或可视对讲系统，门铃宜采用语音、声光多种提示方式，支持远程查看和远程开门。</w:t>
      </w:r>
    </w:p>
    <w:p w14:paraId="0C05D322">
      <w:pPr>
        <w:pStyle w:val="57"/>
      </w:pPr>
      <w:r>
        <w:t>入户门、阳台和外窗等处宜设置入侵报警探测装置；有安全管理系统的小区，入侵报警系统宜预留与小区安全管理系统的联网接口。</w:t>
      </w:r>
    </w:p>
    <w:p w14:paraId="5B54E7FD">
      <w:pPr>
        <w:pStyle w:val="51"/>
      </w:pPr>
      <w:r>
        <w:t>防跌倒监测</w:t>
      </w:r>
    </w:p>
    <w:p w14:paraId="2E8B3637">
      <w:pPr>
        <w:pStyle w:val="57"/>
      </w:pPr>
      <w:r>
        <w:t>卫生间、卧室等老年人跌倒高风险区域宜配置跌倒检测装置，宜采用非接触式探测技术；卫生间内安装的跌倒检测装置防护等级不宜低于IP54。</w:t>
      </w:r>
    </w:p>
    <w:p w14:paraId="4B86C3CE">
      <w:pPr>
        <w:pStyle w:val="57"/>
      </w:pPr>
      <w:r>
        <w:t>跌倒事件报警信号宜同步推送至家属移动终端和平台，并记录报警与处理情况。</w:t>
      </w:r>
    </w:p>
    <w:p w14:paraId="384DF72D">
      <w:pPr>
        <w:pStyle w:val="57"/>
      </w:pPr>
      <w:r>
        <w:t>需要照护的老年人宜采用具有离床报警功能的护理床，实时监测离床状态并异常提醒。</w:t>
      </w:r>
    </w:p>
    <w:p w14:paraId="45C64101">
      <w:pPr>
        <w:pStyle w:val="51"/>
      </w:pPr>
      <w:r>
        <w:t>火灾与燃气安全</w:t>
      </w:r>
    </w:p>
    <w:p w14:paraId="7870275E">
      <w:pPr>
        <w:pStyle w:val="57"/>
      </w:pPr>
      <w:r>
        <w:t>起居室（厅）、卧室等房间宜设置智能感烟火灾探测报警装置，厨房宜设置感温火灾探测报警装置；不具备整栋火灾自动报警系统改造条件时，厨房宜设置联网型火灾探测器。</w:t>
      </w:r>
    </w:p>
    <w:p w14:paraId="678E74A4">
      <w:pPr>
        <w:pStyle w:val="57"/>
      </w:pPr>
      <w:r>
        <w:t>火灾探测报警装置宜具备本地报警（声光提示）和远程报警功能。</w:t>
      </w:r>
    </w:p>
    <w:p w14:paraId="4B32AB54">
      <w:pPr>
        <w:pStyle w:val="57"/>
      </w:pPr>
      <w:r>
        <w:t>使用燃气的厨房宜设置可燃气体浓度检测报警器，并联动燃气自动切断装置；本地报警的声光装置宜安装在户门外或便于邻居、物业感知的位置，报警信息宜同步推送至家属和平台。</w:t>
      </w:r>
    </w:p>
    <w:p w14:paraId="0E24C731">
      <w:pPr>
        <w:pStyle w:val="57"/>
      </w:pPr>
      <w:r>
        <w:t>厨房宜配置具备干烧保护、超时自动关火功能的智能灶具，从源头降低火灾风险。</w:t>
      </w:r>
    </w:p>
    <w:p w14:paraId="7D6F3D7A">
      <w:pPr>
        <w:pStyle w:val="51"/>
      </w:pPr>
      <w:r>
        <w:t>水浸与用电安全</w:t>
      </w:r>
    </w:p>
    <w:p w14:paraId="3DABEE3F">
      <w:pPr>
        <w:pStyle w:val="57"/>
      </w:pPr>
      <w:r>
        <w:t>厨房、卫生间、阳台等用水部位宜设置溢水（水浸）监测装置，具备报警功能，宜联动自动关闭水阀。</w:t>
      </w:r>
    </w:p>
    <w:p w14:paraId="50EDD4AF">
      <w:pPr>
        <w:pStyle w:val="57"/>
      </w:pPr>
      <w:r>
        <w:t>宜配置电气安全监测与报警装置，实现对漏电、短路、过载、线路温度过高等风险的监测与报警。</w:t>
      </w:r>
    </w:p>
    <w:p w14:paraId="549CF727">
      <w:pPr>
        <w:pStyle w:val="57"/>
      </w:pPr>
      <w:r>
        <w:t>宜配置安全型智能插座、智能配电箱，具备过载保护、漏电保护、远程断电功能；卫生间等潮湿场所宜使用防水型电源插座。</w:t>
      </w:r>
    </w:p>
    <w:p w14:paraId="25D40DAC">
      <w:pPr>
        <w:pStyle w:val="57"/>
      </w:pPr>
      <w:r>
        <w:t>本条所列水浸监测、电气安全监测等装置均宜具备本地报警能力（现场声光提示），报警信息宜同步推送至家属和平台。</w:t>
      </w:r>
    </w:p>
    <w:p w14:paraId="619A0AB7">
      <w:pPr>
        <w:pStyle w:val="51"/>
      </w:pPr>
      <w:r>
        <w:t>紧急呼叫</w:t>
      </w:r>
    </w:p>
    <w:p w14:paraId="5F2F778B">
      <w:pPr>
        <w:pStyle w:val="57"/>
      </w:pPr>
      <w:r>
        <w:t>卧室床头、卫生间厕位旁、淋浴区、起居室（厅）主要活动座位旁等位置宜设置紧急呼叫装置，宜采用按钮和拉绳相结合的方式，按钮及拉绳末端距地高度宜与老年人身高、行动姿态相适宜。</w:t>
      </w:r>
    </w:p>
    <w:p w14:paraId="13D75BF3">
      <w:pPr>
        <w:pStyle w:val="57"/>
      </w:pPr>
      <w:r>
        <w:t>紧急呼叫装置的设置宜符合下列内容：</w:t>
      </w:r>
    </w:p>
    <w:p w14:paraId="4948652B">
      <w:pPr>
        <w:pStyle w:val="24"/>
      </w:pPr>
      <w:r>
        <w:t>—— 厕位旁按钮距地面高度宜为400 mm～1100 mm，避开扶手和厕纸架位置；</w:t>
      </w:r>
    </w:p>
    <w:p w14:paraId="0D3E5EDB">
      <w:pPr>
        <w:pStyle w:val="24"/>
      </w:pPr>
      <w:r>
        <w:t>—— 淋浴区按钮距地面高度宜为1200 mm～1500 mm；</w:t>
      </w:r>
    </w:p>
    <w:p w14:paraId="43542EAA">
      <w:pPr>
        <w:pStyle w:val="24"/>
      </w:pPr>
      <w:r>
        <w:t>—— 拉绳末端距地面高度不宜大于300 mm；</w:t>
      </w:r>
    </w:p>
    <w:p w14:paraId="75307093">
      <w:pPr>
        <w:pStyle w:val="24"/>
      </w:pPr>
      <w:r>
        <w:t>—— 卫生间等潮湿场所的呼叫装置防护等级不宜低于IP54；</w:t>
      </w:r>
    </w:p>
    <w:p w14:paraId="7D125C31">
      <w:pPr>
        <w:pStyle w:val="24"/>
      </w:pPr>
      <w:r>
        <w:t>—— 按钮宜采用大按键设计，颜色鲜明、标识醒目，一键触发并具备声光反馈。</w:t>
      </w:r>
    </w:p>
    <w:p w14:paraId="7EEB5DB7">
      <w:pPr>
        <w:pStyle w:val="57"/>
      </w:pPr>
      <w:r>
        <w:t>宜为老年人配置无线便携式紧急呼叫装置（如智能手环、挂件），具备一键呼叫功能，有条件的宜具备跌倒自动报警和定位功能。</w:t>
      </w:r>
    </w:p>
    <w:p w14:paraId="44C40B73">
      <w:pPr>
        <w:pStyle w:val="57"/>
      </w:pPr>
      <w:r>
        <w:t>紧急呼叫信号宜能同时传送至家庭成员和平台，报警受理与处置过程宜可记录、可追溯。</w:t>
      </w:r>
    </w:p>
    <w:p w14:paraId="720C6185">
      <w:pPr>
        <w:pStyle w:val="49"/>
      </w:pPr>
      <w:r>
        <w:t>智能健康监测</w:t>
      </w:r>
    </w:p>
    <w:p w14:paraId="225039B8">
      <w:pPr>
        <w:pStyle w:val="51"/>
      </w:pPr>
      <w:r>
        <w:t>生命体征监测</w:t>
      </w:r>
    </w:p>
    <w:p w14:paraId="34595B00">
      <w:pPr>
        <w:pStyle w:val="57"/>
      </w:pPr>
      <w:r>
        <w:t>宜为老年人配置智能可穿戴设备（手环、手表等），对心率、血压、血氧、睡眠等健康指标进行动态监测；设备宜具备一键主动报警和异常自动报警功能及定位功能。</w:t>
      </w:r>
    </w:p>
    <w:p w14:paraId="5241A821">
      <w:pPr>
        <w:pStyle w:val="57"/>
      </w:pPr>
      <w:r>
        <w:t>卧室宜配置智能睡眠监测垫、毫米波雷达等非接触式监测设备，监测睡眠状态、呼吸和心率；连续12 h（时长宜可设置）未监测到生命活动特征时，设备宜自动报警。</w:t>
      </w:r>
    </w:p>
    <w:p w14:paraId="537EFE6D">
      <w:pPr>
        <w:pStyle w:val="57"/>
      </w:pPr>
      <w:r>
        <w:t>健康监测异常预警信息宜推送至家属或照护人员，必要时同步至平台。</w:t>
      </w:r>
    </w:p>
    <w:p w14:paraId="1BD2F254">
      <w:pPr>
        <w:pStyle w:val="51"/>
      </w:pPr>
      <w:r>
        <w:t>日常活动监测</w:t>
      </w:r>
    </w:p>
    <w:p w14:paraId="51F03D8B">
      <w:pPr>
        <w:pStyle w:val="57"/>
      </w:pPr>
      <w:r>
        <w:t>起居室（厅）、走廊、卫生间等区域宜设置人体感应探测器，入户门宜设置门磁感应器，监测老年人日常活动规律和外出情况，门磁感应器宜在出现异常开启、异常时段外出等状态时报警，报警信息宜推送至家属和（或）平台。</w:t>
      </w:r>
    </w:p>
    <w:p w14:paraId="6F324EDF">
      <w:pPr>
        <w:pStyle w:val="57"/>
      </w:pPr>
      <w:r>
        <w:t>人体感应探测器安装位点宜经评估并尊重老年人意愿确定；涉及个人活动信息的，宜采取隐私保护措施，摄像类设备在无险情状态下宜实现模糊成像。</w:t>
      </w:r>
    </w:p>
    <w:p w14:paraId="19DC0A43">
      <w:pPr>
        <w:pStyle w:val="57"/>
      </w:pPr>
      <w:r>
        <w:t>人体感应探测与门磁监测构成的居家监测系统宜能识别行为异常并预警，异常类型包括跌倒、起居延时、长时间未活动、异常时段外出等；监测数据可用于健康状况评估和照护方案调整。</w:t>
      </w:r>
    </w:p>
    <w:p w14:paraId="7AB87FCA">
      <w:pPr>
        <w:pStyle w:val="51"/>
      </w:pPr>
      <w:r>
        <w:t>健康数据管理</w:t>
      </w:r>
    </w:p>
    <w:p w14:paraId="3A7ADCC8">
      <w:pPr>
        <w:pStyle w:val="57"/>
      </w:pPr>
      <w:r>
        <w:t>平台宜具备健康管理功能模块，对老年人健康数据进行采集、归类和分析，形成健康报告并通过适老智能终端推送至老年人、家属或照护人员。</w:t>
      </w:r>
    </w:p>
    <w:p w14:paraId="0340C8E9">
      <w:pPr>
        <w:pStyle w:val="57"/>
      </w:pPr>
      <w:r>
        <w:t>医养结合服务涉及的社区卫生服务机构、医院信息系统对接和远程问诊等平台侧要求见6.6。</w:t>
      </w:r>
    </w:p>
    <w:p w14:paraId="68E2552C">
      <w:pPr>
        <w:pStyle w:val="57"/>
      </w:pPr>
      <w:r>
        <w:t>宜提供用药提醒服务，通过智能药盒、适老智能终端等提醒老年人按时按量服药。</w:t>
      </w:r>
    </w:p>
    <w:p w14:paraId="401D2C39">
      <w:pPr>
        <w:pStyle w:val="49"/>
      </w:pPr>
      <w:r>
        <w:t>智能环境控制</w:t>
      </w:r>
    </w:p>
    <w:p w14:paraId="141C806B">
      <w:pPr>
        <w:pStyle w:val="51"/>
      </w:pPr>
      <w:r>
        <w:t>智能照明</w:t>
      </w:r>
    </w:p>
    <w:p w14:paraId="697BBA73">
      <w:pPr>
        <w:pStyle w:val="57"/>
      </w:pPr>
      <w:r>
        <w:t>宜配置智能照明系统，支持人体感应自动开关、亮度调节、色温调节、语音控制和远程控制。</w:t>
      </w:r>
    </w:p>
    <w:p w14:paraId="1EA4C710">
      <w:pPr>
        <w:pStyle w:val="57"/>
      </w:pPr>
      <w:r>
        <w:t>起居室（厅）、过道、卧室照明宜采用双控或多点控制，其中一处开关宜靠近床头；入户门内宜设置户内照明一键控制总开关，有条件时可采用智能语音控制开关。</w:t>
      </w:r>
    </w:p>
    <w:p w14:paraId="01388DC3">
      <w:pPr>
        <w:pStyle w:val="57"/>
      </w:pPr>
      <w:r>
        <w:t xml:space="preserve"> 照明开关宜选用大面板并带夜间指示，面板颜色与墙面区分明显，开关底边距地面高度宜为1100 mm，兼顾站立和乘轮椅老年人的操作需求。</w:t>
      </w:r>
    </w:p>
    <w:p w14:paraId="1ACE46E6">
      <w:pPr>
        <w:pStyle w:val="57"/>
      </w:pPr>
      <w:r>
        <w:t>洗浴如厕空间、老年人居室及卧室至卫生间的通行路径宜设置感应式夜灯，感应点亮、延时熄灭，灯具底部距地宜为400 mm，光线柔和防眩光。</w:t>
      </w:r>
    </w:p>
    <w:p w14:paraId="7C7B12B7">
      <w:pPr>
        <w:pStyle w:val="51"/>
      </w:pPr>
      <w:r>
        <w:t>温湿度与空气质量调节</w:t>
      </w:r>
    </w:p>
    <w:p w14:paraId="4F3BD414">
      <w:pPr>
        <w:pStyle w:val="57"/>
      </w:pPr>
      <w:r>
        <w:t>宜配置智能温湿度传感器，实时监测室内温湿度并联动空调、地暖、加湿器等设备自动调节；冬季室内供暖温度不宜低于18 ℃，各房间温差不宜过大。</w:t>
      </w:r>
    </w:p>
    <w:p w14:paraId="2716EE28">
      <w:pPr>
        <w:pStyle w:val="57"/>
      </w:pPr>
      <w:r>
        <w:t>宜配置智能空气质量监测装置，对PM2.5、CO₂等指标进行监测，并联动新风系统或空气净化器。</w:t>
      </w:r>
    </w:p>
    <w:p w14:paraId="4F673C43">
      <w:pPr>
        <w:pStyle w:val="51"/>
      </w:pPr>
      <w:r>
        <w:t>智能窗帘与门窗</w:t>
      </w:r>
    </w:p>
    <w:p w14:paraId="0BB410F6">
      <w:pPr>
        <w:pStyle w:val="57"/>
      </w:pPr>
      <w:r>
        <w:t>起居室（厅）、卧室宜配置智能电动窗帘，支持定时开关、语音控制、远程控制。</w:t>
      </w:r>
    </w:p>
    <w:p w14:paraId="452F00AB">
      <w:pPr>
        <w:pStyle w:val="57"/>
      </w:pPr>
      <w:r>
        <w:t>宜配置智能门窗传感器，监测门窗启闭状态，异常开启或夜间长时间未关闭时发出提醒。</w:t>
      </w:r>
    </w:p>
    <w:p w14:paraId="06A75AD0">
      <w:pPr>
        <w:pStyle w:val="57"/>
      </w:pPr>
      <w:r>
        <w:t>阳台、外窗宜配置风雨感应装置，降雨或大风时自动关闭或提醒关闭；认知障碍老年人家庭的外窗在可开启范围内宜采取防护措施，并宜结合智能监测预警。</w:t>
      </w:r>
    </w:p>
    <w:p w14:paraId="2D039533">
      <w:pPr>
        <w:pStyle w:val="49"/>
      </w:pPr>
      <w:r>
        <w:t>智能生活辅助</w:t>
      </w:r>
    </w:p>
    <w:p w14:paraId="016AE6A8">
      <w:pPr>
        <w:pStyle w:val="51"/>
      </w:pPr>
      <w:r>
        <w:t>智能家居控制</w:t>
      </w:r>
    </w:p>
    <w:p w14:paraId="1CB3EDC8">
      <w:pPr>
        <w:pStyle w:val="57"/>
      </w:pPr>
      <w:r>
        <w:t>宜配置智能家居中控屏、智能音箱等作为家庭控制中枢，集成控制照明、空调、窗帘、安防等设备。</w:t>
      </w:r>
    </w:p>
    <w:p w14:paraId="7F87188F">
      <w:pPr>
        <w:pStyle w:val="57"/>
      </w:pPr>
      <w:r>
        <w:t>中控设备宜具备语音交互功能，宜支持方言识别或语音训练以适应老年人发音特点。</w:t>
      </w:r>
    </w:p>
    <w:p w14:paraId="746A5ACF">
      <w:pPr>
        <w:pStyle w:val="57"/>
      </w:pPr>
      <w:r>
        <w:t>宜支持场景模式一键切换，如回家模式、离家模式、睡眠模式、起夜模式等。</w:t>
      </w:r>
    </w:p>
    <w:p w14:paraId="7691F787">
      <w:pPr>
        <w:pStyle w:val="57"/>
      </w:pPr>
      <w:r>
        <w:t>宜支持家属远程协助控制，方便家属远程帮助老年人操作设备。</w:t>
      </w:r>
    </w:p>
    <w:p w14:paraId="141F5B9C">
      <w:pPr>
        <w:pStyle w:val="51"/>
      </w:pPr>
      <w:r>
        <w:t>智能厨卫</w:t>
      </w:r>
    </w:p>
    <w:p w14:paraId="219172CE">
      <w:pPr>
        <w:pStyle w:val="57"/>
      </w:pPr>
      <w:r>
        <w:t>厨房宜配置智能油烟机，具备自动感应开关功能；具备燃气泄漏联动功能的油烟机，宜在7.2.3规定的可燃气体浓度检测报警器报警时自动启动排风。</w:t>
      </w:r>
    </w:p>
    <w:p w14:paraId="1C046A3D">
      <w:pPr>
        <w:pStyle w:val="57"/>
      </w:pPr>
      <w:r>
        <w:t>卫生间宜配置智能马桶（座便器），具备自动冲水、座圈加热、温水清洗、暖风烘干等功能，操作界面简洁。</w:t>
      </w:r>
    </w:p>
    <w:p w14:paraId="39C58E1B">
      <w:pPr>
        <w:pStyle w:val="57"/>
      </w:pPr>
      <w:r>
        <w:t>宜配置恒温淋浴系统，出水温度可设定并自动调节，防止水温骤变导致烫伤。</w:t>
      </w:r>
    </w:p>
    <w:p w14:paraId="3C5F24FD">
      <w:pPr>
        <w:pStyle w:val="57"/>
      </w:pPr>
      <w:r>
        <w:t>阳台宜配置智能晾衣架，支持电动升降、语音控制。</w:t>
      </w:r>
    </w:p>
    <w:p w14:paraId="2468D254">
      <w:pPr>
        <w:pStyle w:val="51"/>
      </w:pPr>
      <w:r>
        <w:t>智能辅具</w:t>
      </w:r>
    </w:p>
    <w:p w14:paraId="52454549">
      <w:pPr>
        <w:pStyle w:val="57"/>
      </w:pPr>
      <w:r>
        <w:t>宜根据老年人身体功能状况配置智能康复辅助器具，如智能助行器、智能轮椅、康复训练设备等，康复辅助器具的类别划分见GB/T 16432。</w:t>
      </w:r>
    </w:p>
    <w:p w14:paraId="6008EACF">
      <w:pPr>
        <w:pStyle w:val="57"/>
      </w:pPr>
      <w:r>
        <w:t>宜为听力障碍老年人配置智能助听设备，为视力障碍老年人配置智能导盲或语音提示装置。</w:t>
      </w:r>
    </w:p>
    <w:p w14:paraId="46DABAA2">
      <w:pPr>
        <w:pStyle w:val="57"/>
      </w:pPr>
      <w:r>
        <w:t>认知障碍老年人宜配置智能提醒设备，提供日程提醒、用药提醒、位置导航等辅助功能；中重度认知障碍老年人宜配置防走失定位设备，具备电子围栏和越界提醒功能。</w:t>
      </w:r>
    </w:p>
    <w:p w14:paraId="728EBFAC">
      <w:pPr>
        <w:pStyle w:val="49"/>
      </w:pPr>
      <w:r>
        <w:t>智能社交与精神慰藉</w:t>
      </w:r>
    </w:p>
    <w:p w14:paraId="063A0A7C">
      <w:pPr>
        <w:pStyle w:val="51"/>
        <w:bidi w:val="0"/>
      </w:pPr>
      <w:r>
        <w:t>适老智能终端配置</w:t>
      </w:r>
    </w:p>
    <w:p w14:paraId="14ECE991">
      <w:pPr>
        <w:pStyle w:val="24"/>
      </w:pPr>
      <w:r>
        <w:t>宜为老年人配置适老智能终端（如智能屏、平板电脑、适老化手机等），提供视频通话、语音聊天等社交功能。</w:t>
      </w:r>
    </w:p>
    <w:p w14:paraId="21C171C0">
      <w:pPr>
        <w:pStyle w:val="51"/>
        <w:bidi w:val="0"/>
      </w:pPr>
      <w:r>
        <w:t>界面设计</w:t>
      </w:r>
    </w:p>
    <w:p w14:paraId="1AF9EF0E">
      <w:pPr>
        <w:pStyle w:val="24"/>
      </w:pPr>
      <w:r>
        <w:t>适老智能终端宜采用大字体、大图标、高对比度界面设计，操作流程简洁，支持语音交互，宜提供远程协助功能。</w:t>
      </w:r>
    </w:p>
    <w:p w14:paraId="179A2650">
      <w:pPr>
        <w:pStyle w:val="51"/>
        <w:bidi w:val="0"/>
      </w:pPr>
      <w:r>
        <w:t>内容服务</w:t>
      </w:r>
    </w:p>
    <w:p w14:paraId="349C4690">
      <w:pPr>
        <w:pStyle w:val="24"/>
      </w:pPr>
      <w:r>
        <w:t>宜提供在线娱乐、文化教育、健康科普等内容服务。</w:t>
      </w:r>
    </w:p>
    <w:p w14:paraId="2DF70267">
      <w:pPr>
        <w:pStyle w:val="51"/>
        <w:bidi w:val="0"/>
      </w:pPr>
      <w:r>
        <w:t>家庭群组与亲情互动</w:t>
      </w:r>
    </w:p>
    <w:p w14:paraId="5B0D40D3">
      <w:pPr>
        <w:pStyle w:val="24"/>
      </w:pPr>
      <w:r>
        <w:t>宜建立家庭群组，支持家庭成员远程关注老年人状态，实现亲情互动；家属端应用宜定期推送老年人健康与活动状况报告。</w:t>
      </w:r>
    </w:p>
    <w:p w14:paraId="1F498567">
      <w:pPr>
        <w:pStyle w:val="50"/>
      </w:pPr>
      <w:bookmarkStart w:id="20" w:name="_Toc25155"/>
      <w:r>
        <w:t>智能化产品选型与配置</w:t>
      </w:r>
      <w:bookmarkEnd w:id="20"/>
    </w:p>
    <w:p w14:paraId="6F4601D7">
      <w:pPr>
        <w:pStyle w:val="49"/>
      </w:pPr>
      <w:r>
        <w:t>基本要点</w:t>
      </w:r>
    </w:p>
    <w:p w14:paraId="4DEDA2C1">
      <w:pPr>
        <w:pStyle w:val="51"/>
        <w:bidi w:val="0"/>
      </w:pPr>
      <w:r>
        <w:t>适老性</w:t>
      </w:r>
    </w:p>
    <w:p w14:paraId="2CE6B594">
      <w:pPr>
        <w:pStyle w:val="24"/>
      </w:pPr>
      <w:r>
        <w:t>智能化产品宜针对老年人的感知、认知和操作能力特点进行设计或选型，并符合下列内容：</w:t>
      </w:r>
    </w:p>
    <w:p w14:paraId="26107767">
      <w:pPr>
        <w:pStyle w:val="24"/>
      </w:pPr>
      <w:r>
        <w:t>a)  操作界面简洁直观，按键和图标尺寸适宜，颜色对比度满足老年人视觉需求；</w:t>
      </w:r>
    </w:p>
    <w:p w14:paraId="4DD58394">
      <w:pPr>
        <w:pStyle w:val="24"/>
      </w:pPr>
      <w:r>
        <w:t>b)  支持语音交互等非接触式操作方式，降低操作难度；</w:t>
      </w:r>
    </w:p>
    <w:p w14:paraId="36B8BAA4">
      <w:pPr>
        <w:pStyle w:val="24"/>
      </w:pPr>
      <w:r>
        <w:t>c)  关键操作具有明确的声光反馈，帮助老年人确认操作结果；</w:t>
      </w:r>
    </w:p>
    <w:p w14:paraId="6EEEDD5B">
      <w:pPr>
        <w:pStyle w:val="24"/>
      </w:pPr>
      <w:r>
        <w:t>d)  具备容错机制，误操作不宜导致安全风险或系统故障；</w:t>
      </w:r>
    </w:p>
    <w:p w14:paraId="48E5DC82">
      <w:pPr>
        <w:pStyle w:val="24"/>
      </w:pPr>
      <w:r>
        <w:t>e)  产品说明书和操作指南简明易懂，宜提供语音版操作指引。</w:t>
      </w:r>
    </w:p>
    <w:p w14:paraId="296744A4">
      <w:pPr>
        <w:pStyle w:val="51"/>
        <w:bidi w:val="0"/>
      </w:pPr>
      <w:r>
        <w:t>合格证明</w:t>
      </w:r>
    </w:p>
    <w:p w14:paraId="157839FE">
      <w:pPr>
        <w:pStyle w:val="24"/>
      </w:pPr>
      <w:r>
        <w:t>智能化产品宜为检验合格且在有效期内的产品，具有产品合格证明文件；列入国家强制性产品认证目录的产品宜通过强制性产品认证。</w:t>
      </w:r>
    </w:p>
    <w:p w14:paraId="4F24B86A">
      <w:pPr>
        <w:pStyle w:val="51"/>
        <w:bidi w:val="0"/>
      </w:pPr>
      <w:r>
        <w:t>安装位置</w:t>
      </w:r>
    </w:p>
    <w:p w14:paraId="0BD471A0">
      <w:pPr>
        <w:pStyle w:val="24"/>
      </w:pPr>
      <w:r>
        <w:t>智能化产品的安装位置宜便于老年人观察和操作，不宜设置在需弯腰、踮脚等不便姿势才能触及的位置。</w:t>
      </w:r>
    </w:p>
    <w:p w14:paraId="1039188C">
      <w:pPr>
        <w:pStyle w:val="51"/>
        <w:bidi w:val="0"/>
      </w:pPr>
      <w:r>
        <w:t>售后服务与技术支持</w:t>
      </w:r>
    </w:p>
    <w:p w14:paraId="40A55DE6">
      <w:pPr>
        <w:pStyle w:val="24"/>
      </w:pPr>
      <w:r>
        <w:t>智能化产品宜提供完善的售后服务和技术支持，包括使用培训、故障维修、系统升级等。</w:t>
      </w:r>
    </w:p>
    <w:p w14:paraId="5D251467">
      <w:pPr>
        <w:pStyle w:val="49"/>
      </w:pPr>
      <w:r>
        <w:t>兼容性与互联性</w:t>
      </w:r>
    </w:p>
    <w:p w14:paraId="2FD5A357">
      <w:pPr>
        <w:pStyle w:val="51"/>
        <w:bidi w:val="0"/>
      </w:pPr>
      <w:r>
        <w:t>通信协议与接口</w:t>
      </w:r>
    </w:p>
    <w:p w14:paraId="0BD02CF2">
      <w:pPr>
        <w:pStyle w:val="24"/>
      </w:pPr>
      <w:r>
        <w:t>智能化产品宜支持主流通信协议和标准接口；采用Wi-Fi、蓝牙、Zigbee等短距离通信方式的设备之间宜能互联互通，采用蜂窝网络接入的设备宜支持NB-IoT、Cat.1、4G/5G等技术。</w:t>
      </w:r>
    </w:p>
    <w:p w14:paraId="06C36148">
      <w:pPr>
        <w:pStyle w:val="51"/>
        <w:bidi w:val="0"/>
      </w:pPr>
      <w:r>
        <w:t>数据集成网关</w:t>
      </w:r>
    </w:p>
    <w:p w14:paraId="0ACF6D2A">
      <w:pPr>
        <w:pStyle w:val="24"/>
      </w:pPr>
      <w:r>
        <w:t>根据老年人配备智能化产品的情况，宜配置数据集成网关，保证各类设备数据实时传输至平台。</w:t>
      </w:r>
    </w:p>
    <w:p w14:paraId="3D0A05AF">
      <w:pPr>
        <w:pStyle w:val="51"/>
        <w:bidi w:val="0"/>
      </w:pPr>
      <w:r>
        <w:t>开放平台</w:t>
      </w:r>
    </w:p>
    <w:p w14:paraId="20DED589">
      <w:pPr>
        <w:pStyle w:val="24"/>
      </w:pPr>
      <w:r>
        <w:t>宜选择支持开放平台的智能化产品，便于后续功能扩展和系统升级。</w:t>
      </w:r>
    </w:p>
    <w:p w14:paraId="4535B071">
      <w:pPr>
        <w:pStyle w:val="51"/>
        <w:bidi w:val="0"/>
      </w:pPr>
      <w:r>
        <w:t>社区—居家数据接口</w:t>
      </w:r>
    </w:p>
    <w:p w14:paraId="6AB6D952">
      <w:pPr>
        <w:pStyle w:val="24"/>
      </w:pPr>
      <w:r>
        <w:t>社区公共区域智能化系统与居家智能化系统之间宜预留数据接口，支持信息互通和联动响应；智能化产品宜能与平台对接。</w:t>
      </w:r>
    </w:p>
    <w:p w14:paraId="68C8CB6E">
      <w:pPr>
        <w:pStyle w:val="51"/>
        <w:bidi w:val="0"/>
      </w:pPr>
      <w:r>
        <w:t>可靠性与安全性</w:t>
      </w:r>
    </w:p>
    <w:p w14:paraId="42DD429A">
      <w:pPr>
        <w:pStyle w:val="51"/>
        <w:bidi w:val="0"/>
      </w:pPr>
      <w:r>
        <w:t>稳定可靠与本地独立运行</w:t>
      </w:r>
    </w:p>
    <w:p w14:paraId="4086440F">
      <w:pPr>
        <w:pStyle w:val="24"/>
      </w:pPr>
      <w:r>
        <w:t>智能化产品宜性能稳定可靠，紧急呼叫、火灾报警、燃气报警等关键安全设备宜具备备用电源和本地独立运行能力。</w:t>
      </w:r>
    </w:p>
    <w:p w14:paraId="66A39336">
      <w:pPr>
        <w:pStyle w:val="51"/>
        <w:bidi w:val="0"/>
      </w:pPr>
      <w:r>
        <w:t>防护等级</w:t>
      </w:r>
    </w:p>
    <w:p w14:paraId="6758A1C8">
      <w:pPr>
        <w:pStyle w:val="24"/>
      </w:pPr>
      <w:r>
        <w:t>卫生间、厨房等潮湿或油污环境使用的设备防护等级不宜低于IP54，并便于清洁维护。</w:t>
      </w:r>
    </w:p>
    <w:p w14:paraId="4F1AFF97">
      <w:pPr>
        <w:pStyle w:val="51"/>
        <w:bidi w:val="0"/>
      </w:pPr>
      <w:r>
        <w:t>数据安全</w:t>
      </w:r>
    </w:p>
    <w:p w14:paraId="15A9A9BE">
      <w:pPr>
        <w:pStyle w:val="24"/>
      </w:pPr>
      <w:r>
        <w:t>智能化产品宜具备数据安全保护措施，防止个人信息泄露和设备被非法控制；涉及健康数据的，其采集、存储和传输宜符合国家数据安全有关要求。</w:t>
      </w:r>
    </w:p>
    <w:p w14:paraId="2ED17B3E">
      <w:pPr>
        <w:pStyle w:val="51"/>
        <w:bidi w:val="0"/>
      </w:pPr>
      <w:r>
        <w:t>低电量提醒</w:t>
      </w:r>
    </w:p>
    <w:p w14:paraId="377D41AA">
      <w:pPr>
        <w:pStyle w:val="24"/>
      </w:pPr>
      <w:r>
        <w:t>电池供电设备宜具备低电量提醒功能，关键安全设备低电量时宜同时远程通知家属。</w:t>
      </w:r>
    </w:p>
    <w:p w14:paraId="6B23C051">
      <w:pPr>
        <w:pStyle w:val="49"/>
      </w:pPr>
      <w:r>
        <w:t>配置分级</w:t>
      </w:r>
    </w:p>
    <w:p w14:paraId="310C1CD2">
      <w:pPr>
        <w:pStyle w:val="24"/>
      </w:pPr>
      <w:r>
        <w:t>社区居家适老智能化改造项目宜按功能需求和条件分为基础配置和完善提升配置两级，各级配置内容见表1。</w:t>
      </w:r>
    </w:p>
    <w:p w14:paraId="14FBCA9F">
      <w:pPr>
        <w:pStyle w:val="100"/>
        <w:numPr>
          <w:ilvl w:val="0"/>
          <w:numId w:val="0"/>
        </w:numPr>
        <w:jc w:val="center"/>
      </w:pPr>
      <w:r>
        <w:t>表1  社区居家适老智能化改造配置分级</w:t>
      </w:r>
    </w:p>
    <w:tbl>
      <w:tblPr>
        <w:tblStyle w:val="3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74"/>
        <w:gridCol w:w="3402"/>
        <w:gridCol w:w="3742"/>
      </w:tblGrid>
      <w:tr w14:paraId="08C81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4" w:type="dxa"/>
            <w:vAlign w:val="center"/>
          </w:tcPr>
          <w:p w14:paraId="37FACAEB">
            <w:pPr>
              <w:spacing w:after="0"/>
              <w:jc w:val="center"/>
            </w:pPr>
            <w:r>
              <w:rPr>
                <w:rFonts w:ascii="宋体" w:hAnsi="宋体" w:eastAsia="宋体"/>
                <w:b/>
                <w:sz w:val="16"/>
              </w:rPr>
              <w:t>功能类别</w:t>
            </w:r>
          </w:p>
        </w:tc>
        <w:tc>
          <w:tcPr>
            <w:tcW w:w="3402" w:type="dxa"/>
            <w:vAlign w:val="center"/>
          </w:tcPr>
          <w:p w14:paraId="51881803">
            <w:pPr>
              <w:spacing w:after="0"/>
              <w:jc w:val="center"/>
            </w:pPr>
            <w:r>
              <w:rPr>
                <w:rFonts w:ascii="宋体" w:hAnsi="宋体" w:eastAsia="宋体"/>
                <w:b/>
                <w:sz w:val="16"/>
              </w:rPr>
              <w:t>基础配置</w:t>
            </w:r>
          </w:p>
        </w:tc>
        <w:tc>
          <w:tcPr>
            <w:tcW w:w="3742" w:type="dxa"/>
            <w:vAlign w:val="center"/>
          </w:tcPr>
          <w:p w14:paraId="050E4F0A">
            <w:pPr>
              <w:spacing w:after="0"/>
              <w:jc w:val="center"/>
            </w:pPr>
            <w:r>
              <w:rPr>
                <w:rFonts w:ascii="宋体" w:hAnsi="宋体" w:eastAsia="宋体"/>
                <w:b/>
                <w:sz w:val="16"/>
              </w:rPr>
              <w:t>完善提升配置</w:t>
            </w:r>
          </w:p>
        </w:tc>
      </w:tr>
      <w:tr w14:paraId="688911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4" w:type="dxa"/>
            <w:vAlign w:val="center"/>
          </w:tcPr>
          <w:p w14:paraId="5D11A03B">
            <w:pPr>
              <w:spacing w:after="0"/>
              <w:jc w:val="left"/>
            </w:pPr>
            <w:r>
              <w:rPr>
                <w:rFonts w:ascii="宋体" w:hAnsi="宋体" w:eastAsia="宋体"/>
                <w:b w:val="0"/>
                <w:sz w:val="16"/>
              </w:rPr>
              <w:t>智能安全防护</w:t>
            </w:r>
          </w:p>
        </w:tc>
        <w:tc>
          <w:tcPr>
            <w:tcW w:w="3402" w:type="dxa"/>
            <w:vAlign w:val="center"/>
          </w:tcPr>
          <w:p w14:paraId="3ED530A4">
            <w:pPr>
              <w:spacing w:after="0"/>
              <w:jc w:val="left"/>
            </w:pPr>
            <w:r>
              <w:rPr>
                <w:rFonts w:ascii="宋体" w:hAnsi="宋体" w:eastAsia="宋体"/>
                <w:b w:val="0"/>
                <w:sz w:val="16"/>
              </w:rPr>
              <w:t>紧急呼叫装置、感烟/感温火灾探测报警、燃气泄漏报警及自动切断、水浸监测、电气安全监测、感应式夜灯</w:t>
            </w:r>
          </w:p>
        </w:tc>
        <w:tc>
          <w:tcPr>
            <w:tcW w:w="3742" w:type="dxa"/>
            <w:vAlign w:val="center"/>
          </w:tcPr>
          <w:p w14:paraId="3D7171CC">
            <w:pPr>
              <w:spacing w:after="0"/>
              <w:jc w:val="left"/>
            </w:pPr>
            <w:r>
              <w:rPr>
                <w:rFonts w:ascii="宋体" w:hAnsi="宋体" w:eastAsia="宋体"/>
                <w:b w:val="0"/>
                <w:sz w:val="16"/>
              </w:rPr>
              <w:t>智能门锁、可视对讲、跌倒检测、入侵报警、离床报警、智能配电箱</w:t>
            </w:r>
          </w:p>
        </w:tc>
      </w:tr>
      <w:tr w14:paraId="0D6EDC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4" w:type="dxa"/>
            <w:vAlign w:val="center"/>
          </w:tcPr>
          <w:p w14:paraId="039C288B">
            <w:pPr>
              <w:spacing w:after="0"/>
              <w:jc w:val="left"/>
            </w:pPr>
            <w:r>
              <w:rPr>
                <w:rFonts w:ascii="宋体" w:hAnsi="宋体" w:eastAsia="宋体"/>
                <w:b w:val="0"/>
                <w:sz w:val="16"/>
              </w:rPr>
              <w:t>智能健康监测</w:t>
            </w:r>
          </w:p>
        </w:tc>
        <w:tc>
          <w:tcPr>
            <w:tcW w:w="3402" w:type="dxa"/>
            <w:vAlign w:val="center"/>
          </w:tcPr>
          <w:p w14:paraId="1479CE7D">
            <w:pPr>
              <w:spacing w:after="0"/>
              <w:jc w:val="left"/>
            </w:pPr>
            <w:r>
              <w:rPr>
                <w:rFonts w:ascii="宋体" w:hAnsi="宋体" w:eastAsia="宋体"/>
                <w:b w:val="0"/>
                <w:sz w:val="16"/>
              </w:rPr>
              <w:t>—</w:t>
            </w:r>
          </w:p>
        </w:tc>
        <w:tc>
          <w:tcPr>
            <w:tcW w:w="3742" w:type="dxa"/>
            <w:vAlign w:val="center"/>
          </w:tcPr>
          <w:p w14:paraId="237158E6">
            <w:pPr>
              <w:spacing w:after="0"/>
              <w:jc w:val="left"/>
            </w:pPr>
            <w:r>
              <w:rPr>
                <w:rFonts w:ascii="宋体" w:hAnsi="宋体" w:eastAsia="宋体"/>
                <w:b w:val="0"/>
                <w:sz w:val="16"/>
              </w:rPr>
              <w:t>智能可穿戴设备、智能睡眠监测、人体活动监测、门磁感应、健康管理平台、用药提醒</w:t>
            </w:r>
          </w:p>
        </w:tc>
      </w:tr>
      <w:tr w14:paraId="5818E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4" w:type="dxa"/>
            <w:vAlign w:val="center"/>
          </w:tcPr>
          <w:p w14:paraId="3E257C98">
            <w:pPr>
              <w:spacing w:after="0"/>
              <w:jc w:val="left"/>
            </w:pPr>
            <w:r>
              <w:rPr>
                <w:rFonts w:ascii="宋体" w:hAnsi="宋体" w:eastAsia="宋体"/>
                <w:b w:val="0"/>
                <w:sz w:val="16"/>
              </w:rPr>
              <w:t>智能环境控制</w:t>
            </w:r>
          </w:p>
        </w:tc>
        <w:tc>
          <w:tcPr>
            <w:tcW w:w="3402" w:type="dxa"/>
            <w:vAlign w:val="center"/>
          </w:tcPr>
          <w:p w14:paraId="0A1D38C2">
            <w:pPr>
              <w:spacing w:after="0"/>
              <w:jc w:val="left"/>
            </w:pPr>
            <w:r>
              <w:rPr>
                <w:rFonts w:ascii="宋体" w:hAnsi="宋体" w:eastAsia="宋体"/>
                <w:b w:val="0"/>
                <w:sz w:val="16"/>
              </w:rPr>
              <w:t>—</w:t>
            </w:r>
          </w:p>
        </w:tc>
        <w:tc>
          <w:tcPr>
            <w:tcW w:w="3742" w:type="dxa"/>
            <w:vAlign w:val="center"/>
          </w:tcPr>
          <w:p w14:paraId="20EEAB4D">
            <w:pPr>
              <w:spacing w:after="0"/>
              <w:jc w:val="left"/>
            </w:pPr>
            <w:r>
              <w:rPr>
                <w:rFonts w:ascii="宋体" w:hAnsi="宋体" w:eastAsia="宋体"/>
                <w:b w:val="0"/>
                <w:sz w:val="16"/>
              </w:rPr>
              <w:t>智能照明（调光调色温）、温湿度联动调节、空气质量监测联动、智能电动窗帘、智能门窗传感</w:t>
            </w:r>
          </w:p>
        </w:tc>
      </w:tr>
      <w:tr w14:paraId="4073C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4" w:type="dxa"/>
            <w:vAlign w:val="center"/>
          </w:tcPr>
          <w:p w14:paraId="4A0701C2">
            <w:pPr>
              <w:spacing w:after="0"/>
              <w:jc w:val="left"/>
            </w:pPr>
            <w:r>
              <w:rPr>
                <w:rFonts w:ascii="宋体" w:hAnsi="宋体" w:eastAsia="宋体"/>
                <w:b w:val="0"/>
                <w:sz w:val="16"/>
              </w:rPr>
              <w:t>智能生活辅助</w:t>
            </w:r>
          </w:p>
        </w:tc>
        <w:tc>
          <w:tcPr>
            <w:tcW w:w="3402" w:type="dxa"/>
            <w:vAlign w:val="center"/>
          </w:tcPr>
          <w:p w14:paraId="5DB52D27">
            <w:pPr>
              <w:spacing w:after="0"/>
              <w:jc w:val="left"/>
            </w:pPr>
            <w:r>
              <w:rPr>
                <w:rFonts w:ascii="宋体" w:hAnsi="宋体" w:eastAsia="宋体"/>
                <w:b w:val="0"/>
                <w:sz w:val="16"/>
              </w:rPr>
              <w:t>—</w:t>
            </w:r>
          </w:p>
        </w:tc>
        <w:tc>
          <w:tcPr>
            <w:tcW w:w="3742" w:type="dxa"/>
            <w:vAlign w:val="center"/>
          </w:tcPr>
          <w:p w14:paraId="38F1C304">
            <w:pPr>
              <w:spacing w:after="0"/>
              <w:jc w:val="left"/>
            </w:pPr>
            <w:r>
              <w:rPr>
                <w:rFonts w:ascii="宋体" w:hAnsi="宋体" w:eastAsia="宋体"/>
                <w:b w:val="0"/>
                <w:sz w:val="16"/>
              </w:rPr>
              <w:t>智能家居中控与语音助手、场景模式、智能厨卫设备、智能晾衣架、智能康复辅具</w:t>
            </w:r>
          </w:p>
        </w:tc>
      </w:tr>
      <w:tr w14:paraId="5580C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4" w:type="dxa"/>
            <w:vAlign w:val="center"/>
          </w:tcPr>
          <w:p w14:paraId="72A7E9C9">
            <w:pPr>
              <w:spacing w:after="0"/>
              <w:jc w:val="left"/>
            </w:pPr>
            <w:r>
              <w:rPr>
                <w:rFonts w:ascii="宋体" w:hAnsi="宋体" w:eastAsia="宋体"/>
                <w:b w:val="0"/>
                <w:sz w:val="16"/>
              </w:rPr>
              <w:t>智能社交与精神慰藉</w:t>
            </w:r>
          </w:p>
        </w:tc>
        <w:tc>
          <w:tcPr>
            <w:tcW w:w="3402" w:type="dxa"/>
            <w:vAlign w:val="center"/>
          </w:tcPr>
          <w:p w14:paraId="3C9060E3">
            <w:pPr>
              <w:spacing w:after="0"/>
              <w:jc w:val="left"/>
            </w:pPr>
            <w:r>
              <w:rPr>
                <w:rFonts w:ascii="宋体" w:hAnsi="宋体" w:eastAsia="宋体"/>
                <w:b w:val="0"/>
                <w:sz w:val="16"/>
              </w:rPr>
              <w:t>—</w:t>
            </w:r>
          </w:p>
        </w:tc>
        <w:tc>
          <w:tcPr>
            <w:tcW w:w="3742" w:type="dxa"/>
            <w:vAlign w:val="center"/>
          </w:tcPr>
          <w:p w14:paraId="03E6C16B">
            <w:pPr>
              <w:spacing w:after="0"/>
              <w:jc w:val="left"/>
            </w:pPr>
            <w:r>
              <w:rPr>
                <w:rFonts w:ascii="宋体" w:hAnsi="宋体" w:eastAsia="宋体"/>
                <w:b w:val="0"/>
                <w:sz w:val="16"/>
              </w:rPr>
              <w:t>适老智能终端、视频通话、在线内容服务、家庭群组互动</w:t>
            </w:r>
          </w:p>
        </w:tc>
      </w:tr>
      <w:tr w14:paraId="34DCF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474" w:type="dxa"/>
            <w:vAlign w:val="center"/>
          </w:tcPr>
          <w:p w14:paraId="07B73C40">
            <w:pPr>
              <w:spacing w:after="0"/>
              <w:jc w:val="left"/>
            </w:pPr>
            <w:r>
              <w:rPr>
                <w:rFonts w:ascii="宋体" w:hAnsi="宋体" w:eastAsia="宋体"/>
                <w:b w:val="0"/>
                <w:sz w:val="16"/>
              </w:rPr>
              <w:t>社区公共区域</w:t>
            </w:r>
          </w:p>
        </w:tc>
        <w:tc>
          <w:tcPr>
            <w:tcW w:w="3402" w:type="dxa"/>
            <w:vAlign w:val="center"/>
          </w:tcPr>
          <w:p w14:paraId="23D0C6AA">
            <w:pPr>
              <w:spacing w:after="0"/>
              <w:jc w:val="left"/>
            </w:pPr>
            <w:r>
              <w:rPr>
                <w:rFonts w:ascii="宋体" w:hAnsi="宋体" w:eastAsia="宋体"/>
                <w:b w:val="0"/>
                <w:sz w:val="16"/>
              </w:rPr>
              <w:t>紧急求助装置、智能感烟探测、视频监控、智能门禁</w:t>
            </w:r>
          </w:p>
        </w:tc>
        <w:tc>
          <w:tcPr>
            <w:tcW w:w="3742" w:type="dxa"/>
            <w:vAlign w:val="center"/>
          </w:tcPr>
          <w:p w14:paraId="17515829">
            <w:pPr>
              <w:spacing w:after="0"/>
              <w:jc w:val="left"/>
            </w:pPr>
            <w:r>
              <w:rPr>
                <w:rFonts w:ascii="宋体" w:hAnsi="宋体" w:eastAsia="宋体"/>
                <w:b w:val="0"/>
                <w:sz w:val="16"/>
              </w:rPr>
              <w:t>社区智慧养老服务平台、防走失提醒、智能导引与信息发布、电梯智能监测、公共区域智能照明</w:t>
            </w:r>
          </w:p>
        </w:tc>
      </w:tr>
    </w:tbl>
    <w:p w14:paraId="47FA7F1D">
      <w:pPr>
        <w:pStyle w:val="24"/>
      </w:pPr>
    </w:p>
    <w:p w14:paraId="792E1B73">
      <w:pPr>
        <w:pStyle w:val="24"/>
      </w:pPr>
      <w:r>
        <w:t>基础配置宜满足老年人基本安全防护需求；完善提升配置在基础配置基础上增加健康监测、环境控制、生活辅助、社交沟通等功能，进一步提升老年人生活品质。</w:t>
      </w:r>
    </w:p>
    <w:p w14:paraId="327C12C3">
      <w:pPr>
        <w:pStyle w:val="24"/>
      </w:pPr>
      <w:r>
        <w:t>配置等级的确定宜综合考虑老年人能力评估结果、安全风险等级、认知状况、家庭照护条件、经济承受能力和技术可行性等因素。</w:t>
      </w:r>
    </w:p>
    <w:p w14:paraId="0FB8CFBD">
      <w:pPr>
        <w:pStyle w:val="24"/>
      </w:pPr>
      <w:r>
        <w:t>社区居家适老智能化改造项目的配置项目可参考附录A选用。</w:t>
      </w:r>
    </w:p>
    <w:p w14:paraId="3B305157">
      <w:pPr>
        <w:pStyle w:val="50"/>
      </w:pPr>
      <w:bookmarkStart w:id="21" w:name="_Toc30020"/>
      <w:r>
        <w:t>施工安装与调试</w:t>
      </w:r>
      <w:bookmarkEnd w:id="21"/>
    </w:p>
    <w:p w14:paraId="4DF1F638">
      <w:pPr>
        <w:pStyle w:val="49"/>
      </w:pPr>
      <w:r>
        <w:t>施工要点</w:t>
      </w:r>
    </w:p>
    <w:p w14:paraId="76CF0393">
      <w:pPr>
        <w:pStyle w:val="51"/>
        <w:bidi w:val="0"/>
      </w:pPr>
      <w:r>
        <w:t>施工资质</w:t>
      </w:r>
    </w:p>
    <w:p w14:paraId="04D20964">
      <w:pPr>
        <w:pStyle w:val="24"/>
      </w:pPr>
      <w:r>
        <w:t>施工宜由具备相应资质的专业人员实施，施工过程宜符合GB 55022的规定；涉及无障碍设施施工的，宜符合GB 50642的规定。</w:t>
      </w:r>
    </w:p>
    <w:p w14:paraId="579393D7">
      <w:pPr>
        <w:pStyle w:val="51"/>
        <w:bidi w:val="0"/>
      </w:pPr>
      <w:r>
        <w:t>施工方案</w:t>
      </w:r>
    </w:p>
    <w:p w14:paraId="3AD0DEB9">
      <w:pPr>
        <w:pStyle w:val="24"/>
      </w:pPr>
      <w:r>
        <w:t>施工前宜制定施工方案，明确施工范围、施工流程、工期安排、安全措施和文明施工要求。</w:t>
      </w:r>
    </w:p>
    <w:p w14:paraId="4EBF3B48">
      <w:pPr>
        <w:pStyle w:val="51"/>
        <w:bidi w:val="0"/>
      </w:pPr>
      <w:r>
        <w:t>绿色施工</w:t>
      </w:r>
    </w:p>
    <w:p w14:paraId="12A74D86">
      <w:pPr>
        <w:pStyle w:val="24"/>
      </w:pPr>
      <w:r>
        <w:t>施工宜采取绿色施工措施：材料进场堆放合理有序，采取覆盖、围护、隔离等保护措施；施工场界噪声排放宜符合GB 12523《建筑施工场界环境噪声排放标准》的规定，高噪声作业避开夜间和老年人午休时段；控制粉尘污染，及时清运建筑垃圾。</w:t>
      </w:r>
    </w:p>
    <w:p w14:paraId="063F1B2E">
      <w:pPr>
        <w:pStyle w:val="51"/>
        <w:bidi w:val="0"/>
      </w:pPr>
      <w:r>
        <w:t>在住施工</w:t>
      </w:r>
    </w:p>
    <w:p w14:paraId="2CFD9A8E">
      <w:pPr>
        <w:pStyle w:val="24"/>
      </w:pPr>
      <w:r>
        <w:t>老年人居住期间施工的，宜分区分段实施，当日完工部位当日恢复水电供应和通行条件；对老年人居家环境及物品宜采取防护措施，完工后清洁复原。</w:t>
      </w:r>
    </w:p>
    <w:p w14:paraId="42C311E4">
      <w:pPr>
        <w:pStyle w:val="51"/>
        <w:bidi w:val="0"/>
      </w:pPr>
      <w:r>
        <w:t>安装与布线</w:t>
      </w:r>
    </w:p>
    <w:p w14:paraId="7DF08949">
      <w:pPr>
        <w:pStyle w:val="24"/>
      </w:pPr>
      <w:r>
        <w:t>智能化设备的安装位置、安装高度、走线路径宜符合产品安装规范和适老化使用要求；明敷线缆宜采用线槽保护并固定整齐。</w:t>
      </w:r>
    </w:p>
    <w:p w14:paraId="4F829CEC">
      <w:pPr>
        <w:pStyle w:val="51"/>
        <w:bidi w:val="0"/>
      </w:pPr>
      <w:r>
        <w:t>电气作业与隐蔽工程</w:t>
      </w:r>
    </w:p>
    <w:p w14:paraId="079A99D2">
      <w:pPr>
        <w:pStyle w:val="24"/>
      </w:pPr>
      <w:r>
        <w:t>涉及电气线路改造的，宜由持证电工作业，并符合国家电气安装规范要求；隐蔽工程宜在覆盖前进行验收并留存影像记录。</w:t>
      </w:r>
    </w:p>
    <w:p w14:paraId="74252B1B">
      <w:pPr>
        <w:pStyle w:val="49"/>
      </w:pPr>
      <w:r>
        <w:t>系统调试</w:t>
      </w:r>
    </w:p>
    <w:p w14:paraId="1097B6C4">
      <w:pPr>
        <w:pStyle w:val="51"/>
        <w:bidi w:val="0"/>
      </w:pPr>
      <w:r>
        <w:t>逐台调试</w:t>
      </w:r>
    </w:p>
    <w:p w14:paraId="2ABCDE74">
      <w:pPr>
        <w:pStyle w:val="24"/>
      </w:pPr>
      <w:r>
        <w:t>设备安装完成后，宜逐台对各智能化设备进行功能调试，并按子系统进行联动测试。</w:t>
      </w:r>
    </w:p>
    <w:p w14:paraId="2AD64B44">
      <w:pPr>
        <w:pStyle w:val="51"/>
        <w:bidi w:val="0"/>
      </w:pPr>
      <w:r>
        <w:t>调试内容</w:t>
      </w:r>
    </w:p>
    <w:p w14:paraId="7D877BAE">
      <w:pPr>
        <w:pStyle w:val="24"/>
      </w:pPr>
      <w:r>
        <w:t>调试内容宜包括：设备功能测试、网络连通性测试、平台接入测试、系统联动测试和报警链路测试。</w:t>
      </w:r>
    </w:p>
    <w:p w14:paraId="216C4F0C">
      <w:pPr>
        <w:pStyle w:val="51"/>
        <w:bidi w:val="0"/>
      </w:pPr>
      <w:r>
        <w:t>报警链路测试</w:t>
      </w:r>
    </w:p>
    <w:p w14:paraId="6565D3D3">
      <w:pPr>
        <w:pStyle w:val="24"/>
      </w:pPr>
      <w:r>
        <w:t>报警链路测试宜覆盖"设备触发—本地报警—平台接收—家属（服务人员）接收"全过程，验证报警信息传送的及时性和准确性。</w:t>
      </w:r>
    </w:p>
    <w:p w14:paraId="73DCFF77">
      <w:pPr>
        <w:pStyle w:val="51"/>
        <w:bidi w:val="0"/>
      </w:pPr>
      <w:r>
        <w:t>典型场景模拟测试</w:t>
      </w:r>
    </w:p>
    <w:p w14:paraId="3A87ADA2">
      <w:pPr>
        <w:pStyle w:val="24"/>
      </w:pPr>
      <w:r>
        <w:t>宜模拟跌倒、燃气泄漏、紧急呼叫等典型场景进行系统测试，确保系统在真实使用环境下稳定可靠。</w:t>
      </w:r>
    </w:p>
    <w:p w14:paraId="15CB3488">
      <w:pPr>
        <w:pStyle w:val="51"/>
        <w:bidi w:val="0"/>
      </w:pPr>
      <w:r>
        <w:t>老年人参与</w:t>
      </w:r>
    </w:p>
    <w:p w14:paraId="0F4DDFAB">
      <w:pPr>
        <w:pStyle w:val="24"/>
      </w:pPr>
      <w:r>
        <w:t>调试过程宜邀请老年人及家庭成员参与，验证设备操作便捷性和使用体验，并根据反馈优化设备参数（如感应灵敏度、音量、亮度等）。</w:t>
      </w:r>
    </w:p>
    <w:p w14:paraId="6A38B192">
      <w:pPr>
        <w:pStyle w:val="51"/>
        <w:bidi w:val="0"/>
      </w:pPr>
      <w:r>
        <w:t>调试报告</w:t>
      </w:r>
    </w:p>
    <w:p w14:paraId="28DE930E">
      <w:pPr>
        <w:pStyle w:val="24"/>
      </w:pPr>
      <w:r>
        <w:t>系统调试完成后宜形成调试报告，记录调试项目、调试结果和遗留问题。</w:t>
      </w:r>
    </w:p>
    <w:p w14:paraId="492D563B">
      <w:pPr>
        <w:pStyle w:val="49"/>
      </w:pPr>
      <w:r>
        <w:t>使用培训</w:t>
      </w:r>
    </w:p>
    <w:p w14:paraId="30FB168B">
      <w:pPr>
        <w:pStyle w:val="51"/>
        <w:bidi w:val="0"/>
      </w:pPr>
      <w:r>
        <w:t>训对象与内容</w:t>
      </w:r>
    </w:p>
    <w:p w14:paraId="7AEDF823">
      <w:pPr>
        <w:pStyle w:val="24"/>
      </w:pPr>
      <w:r>
        <w:t>系统交付前，宜对老年人、家庭成员及照护者进行使用培训，培训内容包括改造项目、设备基本功能与操作方法、日常维护方法、安全注意事项和紧急求助方式等。</w:t>
      </w:r>
    </w:p>
    <w:p w14:paraId="3E045E2F">
      <w:pPr>
        <w:pStyle w:val="51"/>
        <w:bidi w:val="0"/>
      </w:pPr>
      <w:r>
        <w:t>培训方式</w:t>
      </w:r>
    </w:p>
    <w:p w14:paraId="03363617">
      <w:pPr>
        <w:pStyle w:val="24"/>
      </w:pPr>
      <w:r>
        <w:t>培训宜采用现场演示和实际操作相结合的方式，确保老年人及照护者能够独立使用主要功能。</w:t>
      </w:r>
    </w:p>
    <w:p w14:paraId="442B7649">
      <w:pPr>
        <w:pStyle w:val="51"/>
        <w:bidi w:val="0"/>
      </w:pPr>
      <w:r>
        <w:t>操作指南</w:t>
      </w:r>
    </w:p>
    <w:p w14:paraId="5E12359C">
      <w:pPr>
        <w:pStyle w:val="24"/>
      </w:pPr>
      <w:r>
        <w:t>宜提供简明易懂的图文操作指南或操作视频，字体字号适合老年人阅读，方便随时查阅。</w:t>
      </w:r>
    </w:p>
    <w:p w14:paraId="6DBBE60D">
      <w:pPr>
        <w:pStyle w:val="51"/>
        <w:bidi w:val="0"/>
      </w:pPr>
      <w:r>
        <w:t>回访与再培训</w:t>
      </w:r>
    </w:p>
    <w:p w14:paraId="6137BC04">
      <w:r>
        <w:t>宜在交付后1个月内进行首次回访，必要时提供再培训服务，帮助老年人巩固使用技能。</w:t>
      </w:r>
    </w:p>
    <w:p w14:paraId="382BE876">
      <w:pPr>
        <w:pStyle w:val="49"/>
      </w:pPr>
      <w:r>
        <w:t>验收</w:t>
      </w:r>
    </w:p>
    <w:p w14:paraId="6C73680E">
      <w:pPr>
        <w:pStyle w:val="24"/>
      </w:pPr>
      <w:r>
        <w:t>改造项目完成后宜组织验收，验收宜由改造实施单位会同项目委托方（出资方）、老年人或相关第三方共同进行，验收项目与验收内容可参照附录B给出的验收记录表执行，验收记录宜存档留存。</w:t>
      </w:r>
    </w:p>
    <w:p w14:paraId="3015E2AB">
      <w:pPr>
        <w:pStyle w:val="90"/>
        <w:shd w:val="clear" w:color="FFFFFF" w:fill="FFFFFF"/>
      </w:pPr>
      <w:bookmarkStart w:id="22" w:name="_Toc18873"/>
      <w:r>
        <w:t>附  录  A</w:t>
      </w:r>
      <w:bookmarkEnd w:id="22"/>
    </w:p>
    <w:p w14:paraId="4FC386E5">
      <w:pPr>
        <w:pStyle w:val="98"/>
      </w:pPr>
      <w:r>
        <w:t>（资料性）</w:t>
      </w:r>
      <w:r>
        <w:br w:type="textWrapping"/>
      </w:r>
      <w:r>
        <w:t>社区居家适老智能化改造配置建议</w:t>
      </w:r>
    </w:p>
    <w:p w14:paraId="474BC20C">
      <w:pPr>
        <w:pStyle w:val="24"/>
      </w:pPr>
      <w:r>
        <w:t>表A.1 给出了社区居家适老智能化改造各功能类别的配置建议，包括配置项目、设置部位、主要功能与技术要求及配置等级。</w:t>
      </w:r>
    </w:p>
    <w:p w14:paraId="0F5CDF0E">
      <w:pPr>
        <w:pStyle w:val="100"/>
        <w:numPr>
          <w:ilvl w:val="0"/>
          <w:numId w:val="0"/>
        </w:numPr>
        <w:jc w:val="center"/>
      </w:pPr>
      <w:r>
        <w:t>表</w:t>
      </w:r>
      <w:r>
        <w:rPr>
          <w:rFonts w:hint="eastAsia"/>
          <w:lang w:val="en-US" w:eastAsia="zh-CN"/>
        </w:rPr>
        <w:t>A.</w:t>
      </w:r>
      <w:r>
        <w:t>1  社区居家适老智能化改造配置建议</w:t>
      </w:r>
    </w:p>
    <w:tbl>
      <w:tblPr>
        <w:tblStyle w:val="3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77"/>
        <w:gridCol w:w="1531"/>
        <w:gridCol w:w="1644"/>
        <w:gridCol w:w="3345"/>
        <w:gridCol w:w="794"/>
      </w:tblGrid>
      <w:tr w14:paraId="0E09C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7EE8648D">
            <w:pPr>
              <w:spacing w:after="0"/>
              <w:jc w:val="center"/>
            </w:pPr>
            <w:r>
              <w:rPr>
                <w:rFonts w:ascii="宋体" w:hAnsi="宋体" w:eastAsia="宋体"/>
                <w:b/>
                <w:sz w:val="16"/>
              </w:rPr>
              <w:t>功能类别</w:t>
            </w:r>
          </w:p>
        </w:tc>
        <w:tc>
          <w:tcPr>
            <w:tcW w:w="1531" w:type="dxa"/>
            <w:vAlign w:val="center"/>
          </w:tcPr>
          <w:p w14:paraId="3FF01ED6">
            <w:pPr>
              <w:spacing w:after="0"/>
              <w:jc w:val="center"/>
            </w:pPr>
            <w:r>
              <w:rPr>
                <w:rFonts w:ascii="宋体" w:hAnsi="宋体" w:eastAsia="宋体"/>
                <w:b/>
                <w:sz w:val="16"/>
              </w:rPr>
              <w:t>配置项目</w:t>
            </w:r>
          </w:p>
        </w:tc>
        <w:tc>
          <w:tcPr>
            <w:tcW w:w="1644" w:type="dxa"/>
            <w:vAlign w:val="center"/>
          </w:tcPr>
          <w:p w14:paraId="51C2C4B1">
            <w:pPr>
              <w:spacing w:after="0"/>
              <w:jc w:val="center"/>
            </w:pPr>
            <w:r>
              <w:rPr>
                <w:rFonts w:ascii="宋体" w:hAnsi="宋体" w:eastAsia="宋体"/>
                <w:b/>
                <w:sz w:val="16"/>
              </w:rPr>
              <w:t>设置部位</w:t>
            </w:r>
          </w:p>
        </w:tc>
        <w:tc>
          <w:tcPr>
            <w:tcW w:w="3345" w:type="dxa"/>
            <w:vAlign w:val="center"/>
          </w:tcPr>
          <w:p w14:paraId="4E6FC445">
            <w:pPr>
              <w:spacing w:after="0"/>
              <w:jc w:val="center"/>
            </w:pPr>
            <w:r>
              <w:rPr>
                <w:rFonts w:ascii="宋体" w:hAnsi="宋体" w:eastAsia="宋体"/>
                <w:b/>
                <w:sz w:val="16"/>
              </w:rPr>
              <w:t>主要功能与技术要求</w:t>
            </w:r>
          </w:p>
        </w:tc>
        <w:tc>
          <w:tcPr>
            <w:tcW w:w="794" w:type="dxa"/>
            <w:vAlign w:val="center"/>
          </w:tcPr>
          <w:p w14:paraId="640CF399">
            <w:pPr>
              <w:spacing w:after="0"/>
              <w:jc w:val="center"/>
            </w:pPr>
            <w:r>
              <w:rPr>
                <w:rFonts w:ascii="宋体" w:hAnsi="宋体" w:eastAsia="宋体"/>
                <w:b/>
                <w:sz w:val="16"/>
              </w:rPr>
              <w:t>配置等级</w:t>
            </w:r>
          </w:p>
        </w:tc>
      </w:tr>
      <w:tr w14:paraId="27F40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2C9F9F8C">
            <w:pPr>
              <w:spacing w:after="0"/>
              <w:jc w:val="left"/>
            </w:pPr>
            <w:r>
              <w:rPr>
                <w:rFonts w:ascii="宋体" w:hAnsi="宋体" w:eastAsia="宋体"/>
                <w:b w:val="0"/>
                <w:sz w:val="16"/>
              </w:rPr>
              <w:t>智能安全防护</w:t>
            </w:r>
          </w:p>
        </w:tc>
        <w:tc>
          <w:tcPr>
            <w:tcW w:w="1531" w:type="dxa"/>
            <w:vAlign w:val="center"/>
          </w:tcPr>
          <w:p w14:paraId="5109D62B">
            <w:pPr>
              <w:spacing w:after="0"/>
              <w:jc w:val="left"/>
            </w:pPr>
            <w:r>
              <w:rPr>
                <w:rFonts w:ascii="宋体" w:hAnsi="宋体" w:eastAsia="宋体"/>
                <w:b w:val="0"/>
                <w:sz w:val="16"/>
              </w:rPr>
              <w:t>紧急呼叫装置（固定式）</w:t>
            </w:r>
          </w:p>
        </w:tc>
        <w:tc>
          <w:tcPr>
            <w:tcW w:w="1644" w:type="dxa"/>
            <w:vAlign w:val="center"/>
          </w:tcPr>
          <w:p w14:paraId="3076D120">
            <w:pPr>
              <w:spacing w:after="0"/>
              <w:jc w:val="left"/>
            </w:pPr>
            <w:r>
              <w:rPr>
                <w:rFonts w:ascii="宋体" w:hAnsi="宋体" w:eastAsia="宋体"/>
                <w:b w:val="0"/>
                <w:sz w:val="16"/>
              </w:rPr>
              <w:t>卧室床头、卫生间厕位旁、淋浴区、起居室（厅）</w:t>
            </w:r>
          </w:p>
        </w:tc>
        <w:tc>
          <w:tcPr>
            <w:tcW w:w="3345" w:type="dxa"/>
            <w:vAlign w:val="center"/>
          </w:tcPr>
          <w:p w14:paraId="3DDD36BF">
            <w:pPr>
              <w:spacing w:after="0"/>
              <w:jc w:val="left"/>
            </w:pPr>
            <w:r>
              <w:rPr>
                <w:rFonts w:ascii="宋体" w:hAnsi="宋体" w:eastAsia="宋体"/>
                <w:b w:val="0"/>
                <w:sz w:val="16"/>
              </w:rPr>
              <w:t>按钮和拉绳相结合，一键触发、声光反馈；厕位旁按钮距地400 mm～1100 mm，淋浴区1200 mm～1500 mm，拉绳末端距地不大于300 mm；潮湿场所防护等级不低于IP54；报警信号同步传送至家属和平台</w:t>
            </w:r>
          </w:p>
        </w:tc>
        <w:tc>
          <w:tcPr>
            <w:tcW w:w="794" w:type="dxa"/>
            <w:vAlign w:val="center"/>
          </w:tcPr>
          <w:p w14:paraId="4A7D692D">
            <w:pPr>
              <w:spacing w:after="0"/>
              <w:jc w:val="center"/>
            </w:pPr>
            <w:r>
              <w:rPr>
                <w:rFonts w:ascii="宋体" w:hAnsi="宋体" w:eastAsia="宋体"/>
                <w:b w:val="0"/>
                <w:sz w:val="16"/>
              </w:rPr>
              <w:t>基础</w:t>
            </w:r>
          </w:p>
        </w:tc>
      </w:tr>
      <w:tr w14:paraId="24CAA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639B18DB">
            <w:pPr>
              <w:spacing w:after="0"/>
              <w:jc w:val="left"/>
            </w:pPr>
          </w:p>
        </w:tc>
        <w:tc>
          <w:tcPr>
            <w:tcW w:w="1531" w:type="dxa"/>
            <w:vAlign w:val="center"/>
          </w:tcPr>
          <w:p w14:paraId="4F52C852">
            <w:pPr>
              <w:spacing w:after="0"/>
              <w:jc w:val="left"/>
            </w:pPr>
            <w:r>
              <w:rPr>
                <w:rFonts w:ascii="宋体" w:hAnsi="宋体" w:eastAsia="宋体"/>
                <w:b w:val="0"/>
                <w:sz w:val="16"/>
              </w:rPr>
              <w:t>便携式紧急呼叫装置</w:t>
            </w:r>
          </w:p>
        </w:tc>
        <w:tc>
          <w:tcPr>
            <w:tcW w:w="1644" w:type="dxa"/>
            <w:vAlign w:val="center"/>
          </w:tcPr>
          <w:p w14:paraId="402DF7EB">
            <w:pPr>
              <w:spacing w:after="0"/>
              <w:jc w:val="left"/>
            </w:pPr>
            <w:r>
              <w:rPr>
                <w:rFonts w:ascii="宋体" w:hAnsi="宋体" w:eastAsia="宋体"/>
                <w:b w:val="0"/>
                <w:sz w:val="16"/>
              </w:rPr>
              <w:t>随身佩戴</w:t>
            </w:r>
          </w:p>
        </w:tc>
        <w:tc>
          <w:tcPr>
            <w:tcW w:w="3345" w:type="dxa"/>
            <w:vAlign w:val="center"/>
          </w:tcPr>
          <w:p w14:paraId="19E50EAD">
            <w:pPr>
              <w:spacing w:after="0"/>
              <w:jc w:val="left"/>
            </w:pPr>
            <w:r>
              <w:rPr>
                <w:rFonts w:ascii="宋体" w:hAnsi="宋体" w:eastAsia="宋体"/>
                <w:b w:val="0"/>
                <w:sz w:val="16"/>
              </w:rPr>
              <w:t>一键呼叫，宜具备跌倒自动报警和定位功能</w:t>
            </w:r>
          </w:p>
        </w:tc>
        <w:tc>
          <w:tcPr>
            <w:tcW w:w="794" w:type="dxa"/>
            <w:vAlign w:val="center"/>
          </w:tcPr>
          <w:p w14:paraId="1FAC0B21">
            <w:pPr>
              <w:spacing w:after="0"/>
              <w:jc w:val="center"/>
            </w:pPr>
            <w:r>
              <w:rPr>
                <w:rFonts w:ascii="宋体" w:hAnsi="宋体" w:eastAsia="宋体"/>
                <w:b w:val="0"/>
                <w:sz w:val="16"/>
              </w:rPr>
              <w:t>基础</w:t>
            </w:r>
          </w:p>
        </w:tc>
      </w:tr>
      <w:tr w14:paraId="05B47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07BC65C1">
            <w:pPr>
              <w:spacing w:after="0"/>
              <w:jc w:val="left"/>
            </w:pPr>
          </w:p>
        </w:tc>
        <w:tc>
          <w:tcPr>
            <w:tcW w:w="1531" w:type="dxa"/>
            <w:vAlign w:val="center"/>
          </w:tcPr>
          <w:p w14:paraId="54357EE3">
            <w:pPr>
              <w:spacing w:after="0"/>
              <w:jc w:val="left"/>
            </w:pPr>
            <w:r>
              <w:rPr>
                <w:rFonts w:ascii="宋体" w:hAnsi="宋体" w:eastAsia="宋体"/>
                <w:b w:val="0"/>
                <w:sz w:val="16"/>
              </w:rPr>
              <w:t>感烟/感温火灾探测报警装置</w:t>
            </w:r>
          </w:p>
        </w:tc>
        <w:tc>
          <w:tcPr>
            <w:tcW w:w="1644" w:type="dxa"/>
            <w:vAlign w:val="center"/>
          </w:tcPr>
          <w:p w14:paraId="37FF6231">
            <w:pPr>
              <w:spacing w:after="0"/>
              <w:jc w:val="left"/>
            </w:pPr>
            <w:r>
              <w:rPr>
                <w:rFonts w:ascii="宋体" w:hAnsi="宋体" w:eastAsia="宋体"/>
                <w:b w:val="0"/>
                <w:sz w:val="16"/>
              </w:rPr>
              <w:t>起居室、卧室（感烟）；厨房（感温）</w:t>
            </w:r>
          </w:p>
        </w:tc>
        <w:tc>
          <w:tcPr>
            <w:tcW w:w="3345" w:type="dxa"/>
            <w:vAlign w:val="center"/>
          </w:tcPr>
          <w:p w14:paraId="46FC0A62">
            <w:pPr>
              <w:spacing w:after="0"/>
              <w:jc w:val="left"/>
            </w:pPr>
            <w:r>
              <w:rPr>
                <w:rFonts w:ascii="宋体" w:hAnsi="宋体" w:eastAsia="宋体"/>
                <w:b w:val="0"/>
                <w:sz w:val="16"/>
              </w:rPr>
              <w:t>本地声光报警＋远程通知</w:t>
            </w:r>
          </w:p>
        </w:tc>
        <w:tc>
          <w:tcPr>
            <w:tcW w:w="794" w:type="dxa"/>
            <w:vAlign w:val="center"/>
          </w:tcPr>
          <w:p w14:paraId="77EAB5B6">
            <w:pPr>
              <w:spacing w:after="0"/>
              <w:jc w:val="center"/>
            </w:pPr>
            <w:r>
              <w:rPr>
                <w:rFonts w:ascii="宋体" w:hAnsi="宋体" w:eastAsia="宋体"/>
                <w:b w:val="0"/>
                <w:sz w:val="16"/>
              </w:rPr>
              <w:t>基础</w:t>
            </w:r>
          </w:p>
        </w:tc>
      </w:tr>
      <w:tr w14:paraId="2CC59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2D8B2C2A">
            <w:pPr>
              <w:spacing w:after="0"/>
              <w:jc w:val="left"/>
            </w:pPr>
          </w:p>
        </w:tc>
        <w:tc>
          <w:tcPr>
            <w:tcW w:w="1531" w:type="dxa"/>
            <w:vAlign w:val="center"/>
          </w:tcPr>
          <w:p w14:paraId="0E74D38B">
            <w:pPr>
              <w:spacing w:after="0"/>
              <w:jc w:val="left"/>
            </w:pPr>
            <w:r>
              <w:rPr>
                <w:rFonts w:ascii="宋体" w:hAnsi="宋体" w:eastAsia="宋体"/>
                <w:b w:val="0"/>
                <w:sz w:val="16"/>
              </w:rPr>
              <w:t>燃气泄漏报警器</w:t>
            </w:r>
          </w:p>
        </w:tc>
        <w:tc>
          <w:tcPr>
            <w:tcW w:w="1644" w:type="dxa"/>
            <w:vAlign w:val="center"/>
          </w:tcPr>
          <w:p w14:paraId="33A51C3C">
            <w:pPr>
              <w:spacing w:after="0"/>
              <w:jc w:val="left"/>
            </w:pPr>
            <w:r>
              <w:rPr>
                <w:rFonts w:ascii="宋体" w:hAnsi="宋体" w:eastAsia="宋体"/>
                <w:b w:val="0"/>
                <w:sz w:val="16"/>
              </w:rPr>
              <w:t>厨房</w:t>
            </w:r>
          </w:p>
        </w:tc>
        <w:tc>
          <w:tcPr>
            <w:tcW w:w="3345" w:type="dxa"/>
            <w:vAlign w:val="center"/>
          </w:tcPr>
          <w:p w14:paraId="5FE92DBC">
            <w:pPr>
              <w:spacing w:after="0"/>
              <w:jc w:val="left"/>
            </w:pPr>
            <w:r>
              <w:rPr>
                <w:rFonts w:ascii="宋体" w:hAnsi="宋体" w:eastAsia="宋体"/>
                <w:b w:val="0"/>
                <w:sz w:val="16"/>
              </w:rPr>
              <w:t>可燃气体浓度检测，联动自动切断装置；本地报警声光装置宜设在户门外</w:t>
            </w:r>
          </w:p>
        </w:tc>
        <w:tc>
          <w:tcPr>
            <w:tcW w:w="794" w:type="dxa"/>
            <w:vAlign w:val="center"/>
          </w:tcPr>
          <w:p w14:paraId="45A08D2E">
            <w:pPr>
              <w:spacing w:after="0"/>
              <w:jc w:val="center"/>
            </w:pPr>
            <w:r>
              <w:rPr>
                <w:rFonts w:ascii="宋体" w:hAnsi="宋体" w:eastAsia="宋体"/>
                <w:b w:val="0"/>
                <w:sz w:val="16"/>
              </w:rPr>
              <w:t>基础</w:t>
            </w:r>
          </w:p>
        </w:tc>
      </w:tr>
      <w:tr w14:paraId="5F599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1BE03C7B">
            <w:pPr>
              <w:spacing w:after="0"/>
              <w:jc w:val="left"/>
            </w:pPr>
          </w:p>
        </w:tc>
        <w:tc>
          <w:tcPr>
            <w:tcW w:w="1531" w:type="dxa"/>
            <w:vAlign w:val="center"/>
          </w:tcPr>
          <w:p w14:paraId="4DC2C3D2">
            <w:pPr>
              <w:spacing w:after="0"/>
              <w:jc w:val="left"/>
            </w:pPr>
            <w:r>
              <w:rPr>
                <w:rFonts w:ascii="宋体" w:hAnsi="宋体" w:eastAsia="宋体"/>
                <w:b w:val="0"/>
                <w:sz w:val="16"/>
              </w:rPr>
              <w:t>溢水（水浸）监测装置</w:t>
            </w:r>
          </w:p>
        </w:tc>
        <w:tc>
          <w:tcPr>
            <w:tcW w:w="1644" w:type="dxa"/>
            <w:vAlign w:val="center"/>
          </w:tcPr>
          <w:p w14:paraId="33F0ACF8">
            <w:pPr>
              <w:spacing w:after="0"/>
              <w:jc w:val="left"/>
            </w:pPr>
            <w:r>
              <w:rPr>
                <w:rFonts w:ascii="宋体" w:hAnsi="宋体" w:eastAsia="宋体"/>
                <w:b w:val="0"/>
                <w:sz w:val="16"/>
              </w:rPr>
              <w:t>厨房、卫生间、阳台</w:t>
            </w:r>
          </w:p>
        </w:tc>
        <w:tc>
          <w:tcPr>
            <w:tcW w:w="3345" w:type="dxa"/>
            <w:vAlign w:val="center"/>
          </w:tcPr>
          <w:p w14:paraId="684ABD79">
            <w:pPr>
              <w:spacing w:after="0"/>
              <w:jc w:val="left"/>
            </w:pPr>
            <w:r>
              <w:rPr>
                <w:rFonts w:ascii="宋体" w:hAnsi="宋体" w:eastAsia="宋体"/>
                <w:b w:val="0"/>
                <w:sz w:val="16"/>
              </w:rPr>
              <w:t>漏水报警，宜联动关闭水阀</w:t>
            </w:r>
          </w:p>
        </w:tc>
        <w:tc>
          <w:tcPr>
            <w:tcW w:w="794" w:type="dxa"/>
            <w:vAlign w:val="center"/>
          </w:tcPr>
          <w:p w14:paraId="248FA975">
            <w:pPr>
              <w:spacing w:after="0"/>
              <w:jc w:val="center"/>
            </w:pPr>
            <w:r>
              <w:rPr>
                <w:rFonts w:ascii="宋体" w:hAnsi="宋体" w:eastAsia="宋体"/>
                <w:b w:val="0"/>
                <w:sz w:val="16"/>
              </w:rPr>
              <w:t>基础</w:t>
            </w:r>
          </w:p>
        </w:tc>
      </w:tr>
      <w:tr w14:paraId="16B76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5DBC1D22">
            <w:pPr>
              <w:spacing w:after="0"/>
              <w:jc w:val="left"/>
            </w:pPr>
          </w:p>
        </w:tc>
        <w:tc>
          <w:tcPr>
            <w:tcW w:w="1531" w:type="dxa"/>
            <w:vAlign w:val="center"/>
          </w:tcPr>
          <w:p w14:paraId="26293F6A">
            <w:pPr>
              <w:spacing w:after="0"/>
              <w:jc w:val="left"/>
            </w:pPr>
            <w:r>
              <w:rPr>
                <w:rFonts w:ascii="宋体" w:hAnsi="宋体" w:eastAsia="宋体"/>
                <w:b w:val="0"/>
                <w:sz w:val="16"/>
              </w:rPr>
              <w:t>电气安全监测装置</w:t>
            </w:r>
          </w:p>
        </w:tc>
        <w:tc>
          <w:tcPr>
            <w:tcW w:w="1644" w:type="dxa"/>
            <w:vAlign w:val="center"/>
          </w:tcPr>
          <w:p w14:paraId="3DC04761">
            <w:pPr>
              <w:spacing w:after="0"/>
              <w:jc w:val="left"/>
            </w:pPr>
            <w:r>
              <w:rPr>
                <w:rFonts w:ascii="宋体" w:hAnsi="宋体" w:eastAsia="宋体"/>
                <w:b w:val="0"/>
                <w:sz w:val="16"/>
              </w:rPr>
              <w:t>配电箱</w:t>
            </w:r>
          </w:p>
        </w:tc>
        <w:tc>
          <w:tcPr>
            <w:tcW w:w="3345" w:type="dxa"/>
            <w:vAlign w:val="center"/>
          </w:tcPr>
          <w:p w14:paraId="5BCDE80F">
            <w:pPr>
              <w:spacing w:after="0"/>
              <w:jc w:val="left"/>
            </w:pPr>
            <w:r>
              <w:rPr>
                <w:rFonts w:ascii="宋体" w:hAnsi="宋体" w:eastAsia="宋体"/>
                <w:b w:val="0"/>
                <w:sz w:val="16"/>
              </w:rPr>
              <w:t>漏电、短路、过载、线路温度监测与报警</w:t>
            </w:r>
          </w:p>
        </w:tc>
        <w:tc>
          <w:tcPr>
            <w:tcW w:w="794" w:type="dxa"/>
            <w:vAlign w:val="center"/>
          </w:tcPr>
          <w:p w14:paraId="6353B9C1">
            <w:pPr>
              <w:spacing w:after="0"/>
              <w:jc w:val="center"/>
            </w:pPr>
            <w:r>
              <w:rPr>
                <w:rFonts w:ascii="宋体" w:hAnsi="宋体" w:eastAsia="宋体"/>
                <w:b w:val="0"/>
                <w:sz w:val="16"/>
              </w:rPr>
              <w:t>基础</w:t>
            </w:r>
          </w:p>
        </w:tc>
      </w:tr>
      <w:tr w14:paraId="0D1A1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4F651A78">
            <w:pPr>
              <w:spacing w:after="0"/>
              <w:jc w:val="left"/>
            </w:pPr>
          </w:p>
        </w:tc>
        <w:tc>
          <w:tcPr>
            <w:tcW w:w="1531" w:type="dxa"/>
            <w:vAlign w:val="center"/>
          </w:tcPr>
          <w:p w14:paraId="05B813F4">
            <w:pPr>
              <w:spacing w:after="0"/>
              <w:jc w:val="left"/>
            </w:pPr>
            <w:r>
              <w:rPr>
                <w:rFonts w:ascii="宋体" w:hAnsi="宋体" w:eastAsia="宋体"/>
                <w:b w:val="0"/>
                <w:sz w:val="16"/>
              </w:rPr>
              <w:t>感应式夜灯</w:t>
            </w:r>
          </w:p>
        </w:tc>
        <w:tc>
          <w:tcPr>
            <w:tcW w:w="1644" w:type="dxa"/>
            <w:vAlign w:val="center"/>
          </w:tcPr>
          <w:p w14:paraId="6F74D7DE">
            <w:pPr>
              <w:spacing w:after="0"/>
              <w:jc w:val="left"/>
            </w:pPr>
            <w:r>
              <w:rPr>
                <w:rFonts w:ascii="宋体" w:hAnsi="宋体" w:eastAsia="宋体"/>
                <w:b w:val="0"/>
                <w:sz w:val="16"/>
              </w:rPr>
              <w:t>卧室至卫生间通行路径</w:t>
            </w:r>
          </w:p>
        </w:tc>
        <w:tc>
          <w:tcPr>
            <w:tcW w:w="3345" w:type="dxa"/>
            <w:vAlign w:val="center"/>
          </w:tcPr>
          <w:p w14:paraId="30E0839C">
            <w:pPr>
              <w:spacing w:after="0"/>
              <w:jc w:val="left"/>
            </w:pPr>
            <w:r>
              <w:rPr>
                <w:rFonts w:ascii="宋体" w:hAnsi="宋体" w:eastAsia="宋体"/>
                <w:b w:val="0"/>
                <w:sz w:val="16"/>
              </w:rPr>
              <w:t>人体感应、延时熄灭，灯具底部距地约400 mm</w:t>
            </w:r>
          </w:p>
        </w:tc>
        <w:tc>
          <w:tcPr>
            <w:tcW w:w="794" w:type="dxa"/>
            <w:vAlign w:val="center"/>
          </w:tcPr>
          <w:p w14:paraId="0C389A25">
            <w:pPr>
              <w:spacing w:after="0"/>
              <w:jc w:val="center"/>
            </w:pPr>
            <w:r>
              <w:rPr>
                <w:rFonts w:ascii="宋体" w:hAnsi="宋体" w:eastAsia="宋体"/>
                <w:b w:val="0"/>
                <w:sz w:val="16"/>
              </w:rPr>
              <w:t>基础</w:t>
            </w:r>
          </w:p>
        </w:tc>
      </w:tr>
      <w:tr w14:paraId="11B8E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2EC0D0B0">
            <w:pPr>
              <w:spacing w:after="0"/>
              <w:jc w:val="left"/>
            </w:pPr>
          </w:p>
        </w:tc>
        <w:tc>
          <w:tcPr>
            <w:tcW w:w="1531" w:type="dxa"/>
            <w:vAlign w:val="center"/>
          </w:tcPr>
          <w:p w14:paraId="3C7A452B">
            <w:pPr>
              <w:spacing w:after="0"/>
              <w:jc w:val="left"/>
            </w:pPr>
            <w:r>
              <w:rPr>
                <w:rFonts w:ascii="宋体" w:hAnsi="宋体" w:eastAsia="宋体"/>
                <w:b w:val="0"/>
                <w:sz w:val="16"/>
              </w:rPr>
              <w:t>跌倒检测装置</w:t>
            </w:r>
          </w:p>
        </w:tc>
        <w:tc>
          <w:tcPr>
            <w:tcW w:w="1644" w:type="dxa"/>
            <w:vAlign w:val="center"/>
          </w:tcPr>
          <w:p w14:paraId="6937F35F">
            <w:pPr>
              <w:spacing w:after="0"/>
              <w:jc w:val="left"/>
            </w:pPr>
            <w:r>
              <w:rPr>
                <w:rFonts w:ascii="宋体" w:hAnsi="宋体" w:eastAsia="宋体"/>
                <w:b w:val="0"/>
                <w:sz w:val="16"/>
              </w:rPr>
              <w:t>卫生间、卧室</w:t>
            </w:r>
          </w:p>
        </w:tc>
        <w:tc>
          <w:tcPr>
            <w:tcW w:w="3345" w:type="dxa"/>
            <w:vAlign w:val="center"/>
          </w:tcPr>
          <w:p w14:paraId="4250F690">
            <w:pPr>
              <w:spacing w:after="0"/>
              <w:jc w:val="left"/>
            </w:pPr>
            <w:r>
              <w:rPr>
                <w:rFonts w:ascii="宋体" w:hAnsi="宋体" w:eastAsia="宋体"/>
                <w:b w:val="0"/>
                <w:sz w:val="16"/>
              </w:rPr>
              <w:t>非接触式跌倒识别、自动报警；卫生间内防护等级不低于IP54</w:t>
            </w:r>
          </w:p>
        </w:tc>
        <w:tc>
          <w:tcPr>
            <w:tcW w:w="794" w:type="dxa"/>
            <w:vAlign w:val="center"/>
          </w:tcPr>
          <w:p w14:paraId="551A3477">
            <w:pPr>
              <w:spacing w:after="0"/>
              <w:jc w:val="center"/>
            </w:pPr>
            <w:r>
              <w:rPr>
                <w:rFonts w:ascii="宋体" w:hAnsi="宋体" w:eastAsia="宋体"/>
                <w:b w:val="0"/>
                <w:sz w:val="16"/>
              </w:rPr>
              <w:t>提升</w:t>
            </w:r>
          </w:p>
        </w:tc>
      </w:tr>
      <w:tr w14:paraId="416E8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5B4FDE78">
            <w:pPr>
              <w:spacing w:after="0"/>
              <w:jc w:val="left"/>
            </w:pPr>
          </w:p>
        </w:tc>
        <w:tc>
          <w:tcPr>
            <w:tcW w:w="1531" w:type="dxa"/>
            <w:vAlign w:val="center"/>
          </w:tcPr>
          <w:p w14:paraId="15C5F92C">
            <w:pPr>
              <w:spacing w:after="0"/>
              <w:jc w:val="left"/>
            </w:pPr>
            <w:r>
              <w:rPr>
                <w:rFonts w:ascii="宋体" w:hAnsi="宋体" w:eastAsia="宋体"/>
                <w:b w:val="0"/>
                <w:sz w:val="16"/>
              </w:rPr>
              <w:t>智能门锁、可视对讲</w:t>
            </w:r>
          </w:p>
        </w:tc>
        <w:tc>
          <w:tcPr>
            <w:tcW w:w="1644" w:type="dxa"/>
            <w:vAlign w:val="center"/>
          </w:tcPr>
          <w:p w14:paraId="644B1645">
            <w:pPr>
              <w:spacing w:after="0"/>
              <w:jc w:val="left"/>
            </w:pPr>
            <w:r>
              <w:rPr>
                <w:rFonts w:ascii="宋体" w:hAnsi="宋体" w:eastAsia="宋体"/>
                <w:b w:val="0"/>
                <w:sz w:val="16"/>
              </w:rPr>
              <w:t>入户门</w:t>
            </w:r>
          </w:p>
        </w:tc>
        <w:tc>
          <w:tcPr>
            <w:tcW w:w="3345" w:type="dxa"/>
            <w:vAlign w:val="center"/>
          </w:tcPr>
          <w:p w14:paraId="7AC822EB">
            <w:pPr>
              <w:spacing w:after="0"/>
              <w:jc w:val="left"/>
            </w:pPr>
            <w:r>
              <w:rPr>
                <w:rFonts w:ascii="宋体" w:hAnsi="宋体" w:eastAsia="宋体"/>
                <w:b w:val="0"/>
                <w:sz w:val="16"/>
              </w:rPr>
              <w:t>多种方式开锁＋机械钥匙备用；防撬报警、低电量提醒</w:t>
            </w:r>
          </w:p>
        </w:tc>
        <w:tc>
          <w:tcPr>
            <w:tcW w:w="794" w:type="dxa"/>
            <w:vAlign w:val="center"/>
          </w:tcPr>
          <w:p w14:paraId="6E036B62">
            <w:pPr>
              <w:spacing w:after="0"/>
              <w:jc w:val="center"/>
            </w:pPr>
            <w:r>
              <w:rPr>
                <w:rFonts w:ascii="宋体" w:hAnsi="宋体" w:eastAsia="宋体"/>
                <w:b w:val="0"/>
                <w:sz w:val="16"/>
              </w:rPr>
              <w:t>提升</w:t>
            </w:r>
          </w:p>
        </w:tc>
      </w:tr>
      <w:tr w14:paraId="11F3A273">
        <w:tblPrEx>
          <w:tblCellMar>
            <w:top w:w="0" w:type="dxa"/>
            <w:left w:w="108" w:type="dxa"/>
            <w:bottom w:w="0" w:type="dxa"/>
            <w:right w:w="108" w:type="dxa"/>
          </w:tblCellMar>
        </w:tblPrEx>
        <w:trPr>
          <w:jc w:val="center"/>
        </w:trPr>
        <w:tc>
          <w:tcPr>
            <w:tcW w:w="1077" w:type="dxa"/>
            <w:vAlign w:val="center"/>
          </w:tcPr>
          <w:p w14:paraId="5D86A821">
            <w:pPr>
              <w:spacing w:after="0"/>
              <w:jc w:val="left"/>
            </w:pPr>
          </w:p>
        </w:tc>
        <w:tc>
          <w:tcPr>
            <w:tcW w:w="1531" w:type="dxa"/>
            <w:vAlign w:val="center"/>
          </w:tcPr>
          <w:p w14:paraId="4A36F8A7">
            <w:pPr>
              <w:spacing w:after="0"/>
              <w:jc w:val="left"/>
            </w:pPr>
            <w:r>
              <w:rPr>
                <w:rFonts w:ascii="宋体" w:hAnsi="宋体" w:eastAsia="宋体"/>
                <w:b w:val="0"/>
                <w:sz w:val="16"/>
              </w:rPr>
              <w:t>入侵报警探测装置</w:t>
            </w:r>
          </w:p>
        </w:tc>
        <w:tc>
          <w:tcPr>
            <w:tcW w:w="1644" w:type="dxa"/>
            <w:vAlign w:val="center"/>
          </w:tcPr>
          <w:p w14:paraId="1702116C">
            <w:pPr>
              <w:spacing w:after="0"/>
              <w:jc w:val="left"/>
            </w:pPr>
            <w:r>
              <w:rPr>
                <w:rFonts w:ascii="宋体" w:hAnsi="宋体" w:eastAsia="宋体"/>
                <w:b w:val="0"/>
                <w:sz w:val="16"/>
              </w:rPr>
              <w:t>入户门、阳台、外窗</w:t>
            </w:r>
          </w:p>
        </w:tc>
        <w:tc>
          <w:tcPr>
            <w:tcW w:w="3345" w:type="dxa"/>
            <w:vAlign w:val="center"/>
          </w:tcPr>
          <w:p w14:paraId="79B459DC">
            <w:pPr>
              <w:spacing w:after="0"/>
              <w:jc w:val="left"/>
            </w:pPr>
            <w:r>
              <w:rPr>
                <w:rFonts w:ascii="宋体" w:hAnsi="宋体" w:eastAsia="宋体"/>
                <w:b w:val="0"/>
                <w:sz w:val="16"/>
              </w:rPr>
              <w:t>异常开启报警，宜与小区安全管理系统联网</w:t>
            </w:r>
          </w:p>
        </w:tc>
        <w:tc>
          <w:tcPr>
            <w:tcW w:w="794" w:type="dxa"/>
            <w:vAlign w:val="center"/>
          </w:tcPr>
          <w:p w14:paraId="15A39093">
            <w:pPr>
              <w:spacing w:after="0"/>
              <w:jc w:val="center"/>
            </w:pPr>
            <w:r>
              <w:rPr>
                <w:rFonts w:ascii="宋体" w:hAnsi="宋体" w:eastAsia="宋体"/>
                <w:b w:val="0"/>
                <w:sz w:val="16"/>
              </w:rPr>
              <w:t>提升</w:t>
            </w:r>
          </w:p>
        </w:tc>
      </w:tr>
      <w:tr w14:paraId="60AD1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44704553">
            <w:pPr>
              <w:spacing w:after="0"/>
              <w:jc w:val="left"/>
            </w:pPr>
          </w:p>
        </w:tc>
        <w:tc>
          <w:tcPr>
            <w:tcW w:w="1531" w:type="dxa"/>
            <w:vAlign w:val="center"/>
          </w:tcPr>
          <w:p w14:paraId="6B734AA1">
            <w:pPr>
              <w:spacing w:after="0"/>
              <w:jc w:val="left"/>
            </w:pPr>
            <w:r>
              <w:rPr>
                <w:rFonts w:ascii="宋体" w:hAnsi="宋体" w:eastAsia="宋体"/>
                <w:b w:val="0"/>
                <w:sz w:val="16"/>
              </w:rPr>
              <w:t>离床报警装置</w:t>
            </w:r>
          </w:p>
        </w:tc>
        <w:tc>
          <w:tcPr>
            <w:tcW w:w="1644" w:type="dxa"/>
            <w:vAlign w:val="center"/>
          </w:tcPr>
          <w:p w14:paraId="239F39A5">
            <w:pPr>
              <w:spacing w:after="0"/>
              <w:jc w:val="left"/>
            </w:pPr>
            <w:r>
              <w:rPr>
                <w:rFonts w:ascii="宋体" w:hAnsi="宋体" w:eastAsia="宋体"/>
                <w:b w:val="0"/>
                <w:sz w:val="16"/>
              </w:rPr>
              <w:t>卧室（护理床）</w:t>
            </w:r>
          </w:p>
        </w:tc>
        <w:tc>
          <w:tcPr>
            <w:tcW w:w="3345" w:type="dxa"/>
            <w:vAlign w:val="center"/>
          </w:tcPr>
          <w:p w14:paraId="74E8418F">
            <w:pPr>
              <w:spacing w:after="0"/>
              <w:jc w:val="left"/>
            </w:pPr>
            <w:r>
              <w:rPr>
                <w:rFonts w:ascii="宋体" w:hAnsi="宋体" w:eastAsia="宋体"/>
                <w:b w:val="0"/>
                <w:sz w:val="16"/>
              </w:rPr>
              <w:t>离床状态监测与异常提醒</w:t>
            </w:r>
          </w:p>
        </w:tc>
        <w:tc>
          <w:tcPr>
            <w:tcW w:w="794" w:type="dxa"/>
            <w:vAlign w:val="center"/>
          </w:tcPr>
          <w:p w14:paraId="4955D292">
            <w:pPr>
              <w:spacing w:after="0"/>
              <w:jc w:val="center"/>
            </w:pPr>
            <w:r>
              <w:rPr>
                <w:rFonts w:ascii="宋体" w:hAnsi="宋体" w:eastAsia="宋体"/>
                <w:b w:val="0"/>
                <w:sz w:val="16"/>
              </w:rPr>
              <w:t>提升</w:t>
            </w:r>
          </w:p>
        </w:tc>
      </w:tr>
      <w:tr w14:paraId="6B029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0E2B3591">
            <w:pPr>
              <w:spacing w:after="0"/>
              <w:jc w:val="left"/>
            </w:pPr>
            <w:r>
              <w:rPr>
                <w:rFonts w:ascii="宋体" w:hAnsi="宋体" w:eastAsia="宋体"/>
                <w:b w:val="0"/>
                <w:sz w:val="16"/>
              </w:rPr>
              <w:t>智能健康监测</w:t>
            </w:r>
          </w:p>
        </w:tc>
        <w:tc>
          <w:tcPr>
            <w:tcW w:w="1531" w:type="dxa"/>
            <w:vAlign w:val="center"/>
          </w:tcPr>
          <w:p w14:paraId="7EBE3F76">
            <w:pPr>
              <w:spacing w:after="0"/>
              <w:jc w:val="left"/>
            </w:pPr>
            <w:r>
              <w:rPr>
                <w:rFonts w:ascii="宋体" w:hAnsi="宋体" w:eastAsia="宋体"/>
                <w:b w:val="0"/>
                <w:sz w:val="16"/>
              </w:rPr>
              <w:t>智能可穿戴设备</w:t>
            </w:r>
          </w:p>
        </w:tc>
        <w:tc>
          <w:tcPr>
            <w:tcW w:w="1644" w:type="dxa"/>
            <w:vAlign w:val="center"/>
          </w:tcPr>
          <w:p w14:paraId="11DD9976">
            <w:pPr>
              <w:spacing w:after="0"/>
              <w:jc w:val="left"/>
            </w:pPr>
            <w:r>
              <w:rPr>
                <w:rFonts w:ascii="宋体" w:hAnsi="宋体" w:eastAsia="宋体"/>
                <w:b w:val="0"/>
                <w:sz w:val="16"/>
              </w:rPr>
              <w:t>随身穿戴</w:t>
            </w:r>
          </w:p>
        </w:tc>
        <w:tc>
          <w:tcPr>
            <w:tcW w:w="3345" w:type="dxa"/>
            <w:vAlign w:val="center"/>
          </w:tcPr>
          <w:p w14:paraId="61702412">
            <w:pPr>
              <w:spacing w:after="0"/>
              <w:jc w:val="left"/>
            </w:pPr>
            <w:r>
              <w:rPr>
                <w:rFonts w:ascii="宋体" w:hAnsi="宋体" w:eastAsia="宋体"/>
                <w:b w:val="0"/>
                <w:sz w:val="16"/>
              </w:rPr>
              <w:t>心率、血压、血氧、睡眠监测，异常自动报警，具备定位功能</w:t>
            </w:r>
          </w:p>
        </w:tc>
        <w:tc>
          <w:tcPr>
            <w:tcW w:w="794" w:type="dxa"/>
            <w:vAlign w:val="center"/>
          </w:tcPr>
          <w:p w14:paraId="2C154253">
            <w:pPr>
              <w:spacing w:after="0"/>
              <w:jc w:val="center"/>
            </w:pPr>
            <w:r>
              <w:rPr>
                <w:rFonts w:ascii="宋体" w:hAnsi="宋体" w:eastAsia="宋体"/>
                <w:b w:val="0"/>
                <w:sz w:val="16"/>
              </w:rPr>
              <w:t>提升</w:t>
            </w:r>
          </w:p>
        </w:tc>
      </w:tr>
      <w:tr w14:paraId="70FA8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2476DA9F">
            <w:pPr>
              <w:spacing w:after="0"/>
              <w:jc w:val="left"/>
            </w:pPr>
          </w:p>
        </w:tc>
        <w:tc>
          <w:tcPr>
            <w:tcW w:w="1531" w:type="dxa"/>
            <w:vAlign w:val="center"/>
          </w:tcPr>
          <w:p w14:paraId="4FCDBB8B">
            <w:pPr>
              <w:spacing w:after="0"/>
              <w:jc w:val="left"/>
            </w:pPr>
            <w:r>
              <w:rPr>
                <w:rFonts w:ascii="宋体" w:hAnsi="宋体" w:eastAsia="宋体"/>
                <w:b w:val="0"/>
                <w:sz w:val="16"/>
              </w:rPr>
              <w:t>智能睡眠监测设备</w:t>
            </w:r>
          </w:p>
        </w:tc>
        <w:tc>
          <w:tcPr>
            <w:tcW w:w="1644" w:type="dxa"/>
            <w:vAlign w:val="center"/>
          </w:tcPr>
          <w:p w14:paraId="2036FCCB">
            <w:pPr>
              <w:spacing w:after="0"/>
              <w:jc w:val="left"/>
            </w:pPr>
            <w:r>
              <w:rPr>
                <w:rFonts w:ascii="宋体" w:hAnsi="宋体" w:eastAsia="宋体"/>
                <w:b w:val="0"/>
                <w:sz w:val="16"/>
              </w:rPr>
              <w:t>卧室</w:t>
            </w:r>
          </w:p>
        </w:tc>
        <w:tc>
          <w:tcPr>
            <w:tcW w:w="3345" w:type="dxa"/>
            <w:vAlign w:val="center"/>
          </w:tcPr>
          <w:p w14:paraId="0682F943">
            <w:pPr>
              <w:spacing w:after="0"/>
              <w:jc w:val="left"/>
            </w:pPr>
            <w:r>
              <w:rPr>
                <w:rFonts w:ascii="宋体" w:hAnsi="宋体" w:eastAsia="宋体"/>
                <w:b w:val="0"/>
                <w:sz w:val="16"/>
              </w:rPr>
              <w:t>非接触式监测睡眠、呼吸、心率；长时间无生命活动自动报警</w:t>
            </w:r>
          </w:p>
        </w:tc>
        <w:tc>
          <w:tcPr>
            <w:tcW w:w="794" w:type="dxa"/>
            <w:vAlign w:val="center"/>
          </w:tcPr>
          <w:p w14:paraId="1623FFB2">
            <w:pPr>
              <w:spacing w:after="0"/>
              <w:jc w:val="center"/>
            </w:pPr>
            <w:r>
              <w:rPr>
                <w:rFonts w:ascii="宋体" w:hAnsi="宋体" w:eastAsia="宋体"/>
                <w:b w:val="0"/>
                <w:sz w:val="16"/>
              </w:rPr>
              <w:t>提升</w:t>
            </w:r>
          </w:p>
        </w:tc>
      </w:tr>
      <w:tr w14:paraId="67F2F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12C4A1E8">
            <w:pPr>
              <w:spacing w:after="0"/>
              <w:jc w:val="left"/>
            </w:pPr>
          </w:p>
        </w:tc>
        <w:tc>
          <w:tcPr>
            <w:tcW w:w="1531" w:type="dxa"/>
            <w:vAlign w:val="center"/>
          </w:tcPr>
          <w:p w14:paraId="3357456E">
            <w:pPr>
              <w:spacing w:after="0"/>
              <w:jc w:val="left"/>
            </w:pPr>
            <w:r>
              <w:rPr>
                <w:rFonts w:ascii="宋体" w:hAnsi="宋体" w:eastAsia="宋体"/>
                <w:b w:val="0"/>
                <w:sz w:val="16"/>
              </w:rPr>
              <w:t>人体感应探测器</w:t>
            </w:r>
          </w:p>
        </w:tc>
        <w:tc>
          <w:tcPr>
            <w:tcW w:w="1644" w:type="dxa"/>
            <w:vAlign w:val="center"/>
          </w:tcPr>
          <w:p w14:paraId="660B5B56">
            <w:pPr>
              <w:spacing w:after="0"/>
              <w:jc w:val="left"/>
            </w:pPr>
            <w:r>
              <w:rPr>
                <w:rFonts w:ascii="宋体" w:hAnsi="宋体" w:eastAsia="宋体"/>
                <w:b w:val="0"/>
                <w:sz w:val="16"/>
              </w:rPr>
              <w:t>起居室（厅）、走廊、卫生间</w:t>
            </w:r>
          </w:p>
        </w:tc>
        <w:tc>
          <w:tcPr>
            <w:tcW w:w="3345" w:type="dxa"/>
            <w:vAlign w:val="center"/>
          </w:tcPr>
          <w:p w14:paraId="6F7AC796">
            <w:pPr>
              <w:spacing w:after="0"/>
              <w:jc w:val="left"/>
            </w:pPr>
            <w:r>
              <w:rPr>
                <w:rFonts w:ascii="宋体" w:hAnsi="宋体" w:eastAsia="宋体"/>
                <w:b w:val="0"/>
                <w:sz w:val="16"/>
              </w:rPr>
              <w:t>活动规律监测，异常预警（跌倒、起居延时、长时间未活动）</w:t>
            </w:r>
          </w:p>
        </w:tc>
        <w:tc>
          <w:tcPr>
            <w:tcW w:w="794" w:type="dxa"/>
            <w:vAlign w:val="center"/>
          </w:tcPr>
          <w:p w14:paraId="01DD02AE">
            <w:pPr>
              <w:spacing w:after="0"/>
              <w:jc w:val="center"/>
            </w:pPr>
            <w:r>
              <w:rPr>
                <w:rFonts w:ascii="宋体" w:hAnsi="宋体" w:eastAsia="宋体"/>
                <w:b w:val="0"/>
                <w:sz w:val="16"/>
              </w:rPr>
              <w:t>提升</w:t>
            </w:r>
          </w:p>
        </w:tc>
      </w:tr>
      <w:tr w14:paraId="657CE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14C90701">
            <w:pPr>
              <w:spacing w:after="0"/>
              <w:jc w:val="left"/>
            </w:pPr>
          </w:p>
        </w:tc>
        <w:tc>
          <w:tcPr>
            <w:tcW w:w="1531" w:type="dxa"/>
            <w:vAlign w:val="center"/>
          </w:tcPr>
          <w:p w14:paraId="230C14C0">
            <w:pPr>
              <w:spacing w:after="0"/>
              <w:jc w:val="left"/>
            </w:pPr>
            <w:r>
              <w:rPr>
                <w:rFonts w:ascii="宋体" w:hAnsi="宋体" w:eastAsia="宋体"/>
                <w:b w:val="0"/>
                <w:sz w:val="16"/>
              </w:rPr>
              <w:t>门磁感应器</w:t>
            </w:r>
          </w:p>
        </w:tc>
        <w:tc>
          <w:tcPr>
            <w:tcW w:w="1644" w:type="dxa"/>
            <w:vAlign w:val="center"/>
          </w:tcPr>
          <w:p w14:paraId="15E9BE96">
            <w:pPr>
              <w:spacing w:after="0"/>
              <w:jc w:val="left"/>
            </w:pPr>
            <w:r>
              <w:rPr>
                <w:rFonts w:ascii="宋体" w:hAnsi="宋体" w:eastAsia="宋体"/>
                <w:b w:val="0"/>
                <w:sz w:val="16"/>
              </w:rPr>
              <w:t>入户门</w:t>
            </w:r>
          </w:p>
        </w:tc>
        <w:tc>
          <w:tcPr>
            <w:tcW w:w="3345" w:type="dxa"/>
            <w:vAlign w:val="center"/>
          </w:tcPr>
          <w:p w14:paraId="40DE9BD8">
            <w:pPr>
              <w:spacing w:after="0"/>
              <w:jc w:val="left"/>
            </w:pPr>
            <w:r>
              <w:rPr>
                <w:rFonts w:ascii="宋体" w:hAnsi="宋体" w:eastAsia="宋体"/>
                <w:b w:val="0"/>
                <w:sz w:val="16"/>
              </w:rPr>
              <w:t>门窗启闭状态监测，具备报警功能</w:t>
            </w:r>
          </w:p>
        </w:tc>
        <w:tc>
          <w:tcPr>
            <w:tcW w:w="794" w:type="dxa"/>
            <w:vAlign w:val="center"/>
          </w:tcPr>
          <w:p w14:paraId="0DA22864">
            <w:pPr>
              <w:spacing w:after="0"/>
              <w:jc w:val="center"/>
            </w:pPr>
            <w:r>
              <w:rPr>
                <w:rFonts w:ascii="宋体" w:hAnsi="宋体" w:eastAsia="宋体"/>
                <w:b w:val="0"/>
                <w:sz w:val="16"/>
              </w:rPr>
              <w:t>提升</w:t>
            </w:r>
          </w:p>
        </w:tc>
      </w:tr>
      <w:tr w14:paraId="75DCD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23DCF71C">
            <w:pPr>
              <w:spacing w:after="0"/>
              <w:jc w:val="left"/>
            </w:pPr>
          </w:p>
        </w:tc>
        <w:tc>
          <w:tcPr>
            <w:tcW w:w="1531" w:type="dxa"/>
            <w:vAlign w:val="center"/>
          </w:tcPr>
          <w:p w14:paraId="542C524A">
            <w:pPr>
              <w:spacing w:after="0"/>
              <w:jc w:val="left"/>
            </w:pPr>
            <w:r>
              <w:rPr>
                <w:rFonts w:ascii="宋体" w:hAnsi="宋体" w:eastAsia="宋体"/>
                <w:b w:val="0"/>
                <w:sz w:val="16"/>
              </w:rPr>
              <w:t>健康管理平台</w:t>
            </w:r>
          </w:p>
        </w:tc>
        <w:tc>
          <w:tcPr>
            <w:tcW w:w="1644" w:type="dxa"/>
            <w:vAlign w:val="center"/>
          </w:tcPr>
          <w:p w14:paraId="043F6D34">
            <w:pPr>
              <w:spacing w:after="0"/>
              <w:jc w:val="left"/>
            </w:pPr>
            <w:r>
              <w:rPr>
                <w:rFonts w:ascii="宋体" w:hAnsi="宋体" w:eastAsia="宋体"/>
                <w:b w:val="0"/>
                <w:sz w:val="16"/>
              </w:rPr>
              <w:t>平台端</w:t>
            </w:r>
          </w:p>
        </w:tc>
        <w:tc>
          <w:tcPr>
            <w:tcW w:w="3345" w:type="dxa"/>
            <w:vAlign w:val="center"/>
          </w:tcPr>
          <w:p w14:paraId="653AC9AF">
            <w:pPr>
              <w:spacing w:after="0"/>
              <w:jc w:val="left"/>
            </w:pPr>
            <w:r>
              <w:rPr>
                <w:rFonts w:ascii="宋体" w:hAnsi="宋体" w:eastAsia="宋体"/>
                <w:b w:val="0"/>
                <w:sz w:val="16"/>
              </w:rPr>
              <w:t>健康数据采集分析、健康档案、报告推送、远程问诊对接</w:t>
            </w:r>
          </w:p>
        </w:tc>
        <w:tc>
          <w:tcPr>
            <w:tcW w:w="794" w:type="dxa"/>
            <w:vAlign w:val="center"/>
          </w:tcPr>
          <w:p w14:paraId="2667CE31">
            <w:pPr>
              <w:spacing w:after="0"/>
              <w:jc w:val="center"/>
            </w:pPr>
            <w:r>
              <w:rPr>
                <w:rFonts w:ascii="宋体" w:hAnsi="宋体" w:eastAsia="宋体"/>
                <w:b w:val="0"/>
                <w:sz w:val="16"/>
              </w:rPr>
              <w:t>提升</w:t>
            </w:r>
          </w:p>
        </w:tc>
      </w:tr>
      <w:tr w14:paraId="46463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0E665F0D">
            <w:pPr>
              <w:spacing w:after="0"/>
              <w:jc w:val="left"/>
            </w:pPr>
            <w:r>
              <w:rPr>
                <w:rFonts w:ascii="宋体" w:hAnsi="宋体" w:eastAsia="宋体"/>
                <w:b w:val="0"/>
                <w:sz w:val="16"/>
              </w:rPr>
              <w:t>智能环境控制</w:t>
            </w:r>
          </w:p>
        </w:tc>
        <w:tc>
          <w:tcPr>
            <w:tcW w:w="1531" w:type="dxa"/>
            <w:vAlign w:val="center"/>
          </w:tcPr>
          <w:p w14:paraId="0E0551BC">
            <w:pPr>
              <w:spacing w:after="0"/>
              <w:jc w:val="left"/>
            </w:pPr>
            <w:r>
              <w:rPr>
                <w:rFonts w:ascii="宋体" w:hAnsi="宋体" w:eastAsia="宋体"/>
                <w:b w:val="0"/>
                <w:sz w:val="16"/>
              </w:rPr>
              <w:t>智能照明系统</w:t>
            </w:r>
          </w:p>
        </w:tc>
        <w:tc>
          <w:tcPr>
            <w:tcW w:w="1644" w:type="dxa"/>
            <w:vAlign w:val="center"/>
          </w:tcPr>
          <w:p w14:paraId="11555A5C">
            <w:pPr>
              <w:spacing w:after="0"/>
              <w:jc w:val="left"/>
            </w:pPr>
            <w:r>
              <w:rPr>
                <w:rFonts w:ascii="宋体" w:hAnsi="宋体" w:eastAsia="宋体"/>
                <w:b w:val="0"/>
                <w:sz w:val="16"/>
              </w:rPr>
              <w:t>全屋</w:t>
            </w:r>
          </w:p>
        </w:tc>
        <w:tc>
          <w:tcPr>
            <w:tcW w:w="3345" w:type="dxa"/>
            <w:vAlign w:val="center"/>
          </w:tcPr>
          <w:p w14:paraId="7AC2D5F2">
            <w:pPr>
              <w:spacing w:after="0"/>
              <w:jc w:val="left"/>
            </w:pPr>
            <w:r>
              <w:rPr>
                <w:rFonts w:ascii="宋体" w:hAnsi="宋体" w:eastAsia="宋体"/>
                <w:b w:val="0"/>
                <w:sz w:val="16"/>
              </w:rPr>
              <w:t>感应开关、亮度色温调节、语音与远程控制</w:t>
            </w:r>
          </w:p>
        </w:tc>
        <w:tc>
          <w:tcPr>
            <w:tcW w:w="794" w:type="dxa"/>
            <w:vAlign w:val="center"/>
          </w:tcPr>
          <w:p w14:paraId="6F043944">
            <w:pPr>
              <w:spacing w:after="0"/>
              <w:jc w:val="center"/>
            </w:pPr>
            <w:r>
              <w:rPr>
                <w:rFonts w:ascii="宋体" w:hAnsi="宋体" w:eastAsia="宋体"/>
                <w:b w:val="0"/>
                <w:sz w:val="16"/>
              </w:rPr>
              <w:t>提升</w:t>
            </w:r>
          </w:p>
        </w:tc>
      </w:tr>
      <w:tr w14:paraId="579AA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2E37983A">
            <w:pPr>
              <w:spacing w:after="0"/>
              <w:jc w:val="left"/>
            </w:pPr>
          </w:p>
        </w:tc>
        <w:tc>
          <w:tcPr>
            <w:tcW w:w="1531" w:type="dxa"/>
            <w:vAlign w:val="center"/>
          </w:tcPr>
          <w:p w14:paraId="3917903E">
            <w:pPr>
              <w:spacing w:after="0"/>
              <w:jc w:val="left"/>
            </w:pPr>
            <w:r>
              <w:rPr>
                <w:rFonts w:ascii="宋体" w:hAnsi="宋体" w:eastAsia="宋体"/>
                <w:b w:val="0"/>
                <w:sz w:val="16"/>
              </w:rPr>
              <w:t>温湿度与空气质量监测装置</w:t>
            </w:r>
          </w:p>
        </w:tc>
        <w:tc>
          <w:tcPr>
            <w:tcW w:w="1644" w:type="dxa"/>
            <w:vAlign w:val="center"/>
          </w:tcPr>
          <w:p w14:paraId="5BA4122B">
            <w:pPr>
              <w:spacing w:after="0"/>
              <w:jc w:val="left"/>
            </w:pPr>
            <w:r>
              <w:rPr>
                <w:rFonts w:ascii="宋体" w:hAnsi="宋体" w:eastAsia="宋体"/>
                <w:b w:val="0"/>
                <w:sz w:val="16"/>
              </w:rPr>
              <w:t>起居室、卧室</w:t>
            </w:r>
          </w:p>
        </w:tc>
        <w:tc>
          <w:tcPr>
            <w:tcW w:w="3345" w:type="dxa"/>
            <w:vAlign w:val="center"/>
          </w:tcPr>
          <w:p w14:paraId="3CB0F6EF">
            <w:pPr>
              <w:spacing w:after="0"/>
              <w:jc w:val="left"/>
            </w:pPr>
            <w:r>
              <w:rPr>
                <w:rFonts w:ascii="宋体" w:hAnsi="宋体" w:eastAsia="宋体"/>
                <w:b w:val="0"/>
                <w:sz w:val="16"/>
              </w:rPr>
              <w:t>温湿度、PM2.5、CO₂监测，联动空调/新风/净化器</w:t>
            </w:r>
          </w:p>
        </w:tc>
        <w:tc>
          <w:tcPr>
            <w:tcW w:w="794" w:type="dxa"/>
            <w:vAlign w:val="center"/>
          </w:tcPr>
          <w:p w14:paraId="09741DFB">
            <w:pPr>
              <w:spacing w:after="0"/>
              <w:jc w:val="center"/>
            </w:pPr>
            <w:r>
              <w:rPr>
                <w:rFonts w:ascii="宋体" w:hAnsi="宋体" w:eastAsia="宋体"/>
                <w:b w:val="0"/>
                <w:sz w:val="16"/>
              </w:rPr>
              <w:t>提升</w:t>
            </w:r>
          </w:p>
        </w:tc>
      </w:tr>
      <w:tr w14:paraId="6E172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11EE12F7">
            <w:pPr>
              <w:spacing w:after="0"/>
              <w:jc w:val="left"/>
            </w:pPr>
          </w:p>
        </w:tc>
        <w:tc>
          <w:tcPr>
            <w:tcW w:w="1531" w:type="dxa"/>
            <w:vAlign w:val="center"/>
          </w:tcPr>
          <w:p w14:paraId="78CD1F8D">
            <w:pPr>
              <w:spacing w:after="0"/>
              <w:jc w:val="left"/>
            </w:pPr>
            <w:r>
              <w:rPr>
                <w:rFonts w:ascii="宋体" w:hAnsi="宋体" w:eastAsia="宋体"/>
                <w:b w:val="0"/>
                <w:sz w:val="16"/>
              </w:rPr>
              <w:t>智能电动窗帘</w:t>
            </w:r>
          </w:p>
        </w:tc>
        <w:tc>
          <w:tcPr>
            <w:tcW w:w="1644" w:type="dxa"/>
            <w:vAlign w:val="center"/>
          </w:tcPr>
          <w:p w14:paraId="559CD952">
            <w:pPr>
              <w:spacing w:after="0"/>
              <w:jc w:val="left"/>
            </w:pPr>
            <w:r>
              <w:rPr>
                <w:rFonts w:ascii="宋体" w:hAnsi="宋体" w:eastAsia="宋体"/>
                <w:b w:val="0"/>
                <w:sz w:val="16"/>
              </w:rPr>
              <w:t>起居室（厅）、卧室</w:t>
            </w:r>
          </w:p>
        </w:tc>
        <w:tc>
          <w:tcPr>
            <w:tcW w:w="3345" w:type="dxa"/>
            <w:vAlign w:val="center"/>
          </w:tcPr>
          <w:p w14:paraId="13690CAC">
            <w:pPr>
              <w:spacing w:after="0"/>
              <w:jc w:val="left"/>
            </w:pPr>
            <w:r>
              <w:rPr>
                <w:rFonts w:ascii="宋体" w:hAnsi="宋体" w:eastAsia="宋体"/>
                <w:b w:val="0"/>
                <w:sz w:val="16"/>
              </w:rPr>
              <w:t>定时、语音、远程控制</w:t>
            </w:r>
          </w:p>
        </w:tc>
        <w:tc>
          <w:tcPr>
            <w:tcW w:w="794" w:type="dxa"/>
            <w:vAlign w:val="center"/>
          </w:tcPr>
          <w:p w14:paraId="5AEB66D8">
            <w:pPr>
              <w:spacing w:after="0"/>
              <w:jc w:val="center"/>
            </w:pPr>
            <w:r>
              <w:rPr>
                <w:rFonts w:ascii="宋体" w:hAnsi="宋体" w:eastAsia="宋体"/>
                <w:b w:val="0"/>
                <w:sz w:val="16"/>
              </w:rPr>
              <w:t>提升</w:t>
            </w:r>
          </w:p>
        </w:tc>
      </w:tr>
      <w:tr w14:paraId="235AA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5775251D">
            <w:pPr>
              <w:spacing w:after="0"/>
              <w:jc w:val="left"/>
            </w:pPr>
          </w:p>
        </w:tc>
        <w:tc>
          <w:tcPr>
            <w:tcW w:w="1531" w:type="dxa"/>
            <w:vAlign w:val="center"/>
          </w:tcPr>
          <w:p w14:paraId="1CB39701">
            <w:pPr>
              <w:spacing w:after="0"/>
              <w:jc w:val="left"/>
            </w:pPr>
            <w:r>
              <w:rPr>
                <w:rFonts w:ascii="宋体" w:hAnsi="宋体" w:eastAsia="宋体"/>
                <w:b w:val="0"/>
                <w:sz w:val="16"/>
              </w:rPr>
              <w:t>智能门窗传感器</w:t>
            </w:r>
          </w:p>
        </w:tc>
        <w:tc>
          <w:tcPr>
            <w:tcW w:w="1644" w:type="dxa"/>
            <w:vAlign w:val="center"/>
          </w:tcPr>
          <w:p w14:paraId="70D6A7CB">
            <w:pPr>
              <w:spacing w:after="0"/>
              <w:jc w:val="left"/>
            </w:pPr>
            <w:r>
              <w:rPr>
                <w:rFonts w:ascii="宋体" w:hAnsi="宋体" w:eastAsia="宋体"/>
                <w:b w:val="0"/>
                <w:sz w:val="16"/>
              </w:rPr>
              <w:t>外窗、阳台门</w:t>
            </w:r>
          </w:p>
        </w:tc>
        <w:tc>
          <w:tcPr>
            <w:tcW w:w="3345" w:type="dxa"/>
            <w:vAlign w:val="center"/>
          </w:tcPr>
          <w:p w14:paraId="6B9E6BA0">
            <w:pPr>
              <w:spacing w:after="0"/>
              <w:jc w:val="left"/>
            </w:pPr>
            <w:r>
              <w:rPr>
                <w:rFonts w:ascii="宋体" w:hAnsi="宋体" w:eastAsia="宋体"/>
                <w:b w:val="0"/>
                <w:sz w:val="16"/>
              </w:rPr>
              <w:t>启闭状态监测与异常提醒，风雨感应联动</w:t>
            </w:r>
          </w:p>
        </w:tc>
        <w:tc>
          <w:tcPr>
            <w:tcW w:w="794" w:type="dxa"/>
            <w:vAlign w:val="center"/>
          </w:tcPr>
          <w:p w14:paraId="5A74170F">
            <w:pPr>
              <w:spacing w:after="0"/>
              <w:jc w:val="center"/>
            </w:pPr>
            <w:r>
              <w:rPr>
                <w:rFonts w:ascii="宋体" w:hAnsi="宋体" w:eastAsia="宋体"/>
                <w:b w:val="0"/>
                <w:sz w:val="16"/>
              </w:rPr>
              <w:t>提升</w:t>
            </w:r>
          </w:p>
        </w:tc>
      </w:tr>
      <w:tr w14:paraId="45BE5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13745F54">
            <w:pPr>
              <w:spacing w:after="0"/>
              <w:jc w:val="left"/>
            </w:pPr>
            <w:r>
              <w:rPr>
                <w:rFonts w:ascii="宋体" w:hAnsi="宋体" w:eastAsia="宋体"/>
                <w:b w:val="0"/>
                <w:sz w:val="16"/>
              </w:rPr>
              <w:t>智能生活辅助</w:t>
            </w:r>
          </w:p>
        </w:tc>
        <w:tc>
          <w:tcPr>
            <w:tcW w:w="1531" w:type="dxa"/>
            <w:vAlign w:val="center"/>
          </w:tcPr>
          <w:p w14:paraId="38C41643">
            <w:pPr>
              <w:spacing w:after="0"/>
              <w:jc w:val="left"/>
            </w:pPr>
            <w:r>
              <w:rPr>
                <w:rFonts w:ascii="宋体" w:hAnsi="宋体" w:eastAsia="宋体"/>
                <w:b w:val="0"/>
                <w:sz w:val="16"/>
              </w:rPr>
              <w:t>智能家居中控/语音助手</w:t>
            </w:r>
          </w:p>
        </w:tc>
        <w:tc>
          <w:tcPr>
            <w:tcW w:w="1644" w:type="dxa"/>
            <w:vAlign w:val="center"/>
          </w:tcPr>
          <w:p w14:paraId="780B47AF">
            <w:pPr>
              <w:spacing w:after="0"/>
              <w:jc w:val="left"/>
            </w:pPr>
            <w:r>
              <w:rPr>
                <w:rFonts w:ascii="宋体" w:hAnsi="宋体" w:eastAsia="宋体"/>
                <w:b w:val="0"/>
                <w:sz w:val="16"/>
              </w:rPr>
              <w:t>起居室（厅）</w:t>
            </w:r>
          </w:p>
        </w:tc>
        <w:tc>
          <w:tcPr>
            <w:tcW w:w="3345" w:type="dxa"/>
            <w:vAlign w:val="center"/>
          </w:tcPr>
          <w:p w14:paraId="1EF492DD">
            <w:pPr>
              <w:spacing w:after="0"/>
              <w:jc w:val="left"/>
            </w:pPr>
            <w:r>
              <w:rPr>
                <w:rFonts w:ascii="宋体" w:hAnsi="宋体" w:eastAsia="宋体"/>
                <w:b w:val="0"/>
                <w:sz w:val="16"/>
              </w:rPr>
              <w:t>集中控制、语音交互、场景模式、家属远程协助</w:t>
            </w:r>
          </w:p>
        </w:tc>
        <w:tc>
          <w:tcPr>
            <w:tcW w:w="794" w:type="dxa"/>
            <w:vAlign w:val="center"/>
          </w:tcPr>
          <w:p w14:paraId="5752E720">
            <w:pPr>
              <w:spacing w:after="0"/>
              <w:jc w:val="center"/>
            </w:pPr>
            <w:r>
              <w:rPr>
                <w:rFonts w:ascii="宋体" w:hAnsi="宋体" w:eastAsia="宋体"/>
                <w:b w:val="0"/>
                <w:sz w:val="16"/>
              </w:rPr>
              <w:t>提升</w:t>
            </w:r>
          </w:p>
        </w:tc>
      </w:tr>
      <w:tr w14:paraId="52267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091A0AAF">
            <w:pPr>
              <w:spacing w:after="0"/>
              <w:jc w:val="left"/>
            </w:pPr>
          </w:p>
        </w:tc>
        <w:tc>
          <w:tcPr>
            <w:tcW w:w="1531" w:type="dxa"/>
            <w:vAlign w:val="center"/>
          </w:tcPr>
          <w:p w14:paraId="44A671A8">
            <w:pPr>
              <w:spacing w:after="0"/>
              <w:jc w:val="left"/>
            </w:pPr>
            <w:r>
              <w:rPr>
                <w:rFonts w:ascii="宋体" w:hAnsi="宋体" w:eastAsia="宋体"/>
                <w:b w:val="0"/>
                <w:sz w:val="16"/>
              </w:rPr>
              <w:t>智能厨卫设备</w:t>
            </w:r>
          </w:p>
        </w:tc>
        <w:tc>
          <w:tcPr>
            <w:tcW w:w="1644" w:type="dxa"/>
            <w:vAlign w:val="center"/>
          </w:tcPr>
          <w:p w14:paraId="4AAE1240">
            <w:pPr>
              <w:spacing w:after="0"/>
              <w:jc w:val="left"/>
            </w:pPr>
            <w:r>
              <w:rPr>
                <w:rFonts w:ascii="宋体" w:hAnsi="宋体" w:eastAsia="宋体"/>
                <w:b w:val="0"/>
                <w:sz w:val="16"/>
              </w:rPr>
              <w:t>厨房、卫生间</w:t>
            </w:r>
          </w:p>
        </w:tc>
        <w:tc>
          <w:tcPr>
            <w:tcW w:w="3345" w:type="dxa"/>
            <w:vAlign w:val="center"/>
          </w:tcPr>
          <w:p w14:paraId="389A5EA8">
            <w:pPr>
              <w:spacing w:after="0"/>
              <w:jc w:val="left"/>
            </w:pPr>
            <w:r>
              <w:rPr>
                <w:rFonts w:ascii="宋体" w:hAnsi="宋体" w:eastAsia="宋体"/>
                <w:b w:val="0"/>
                <w:sz w:val="16"/>
              </w:rPr>
              <w:t>智能油烟机、智能马桶、恒温淋浴系统、智能晾衣架</w:t>
            </w:r>
          </w:p>
        </w:tc>
        <w:tc>
          <w:tcPr>
            <w:tcW w:w="794" w:type="dxa"/>
            <w:vAlign w:val="center"/>
          </w:tcPr>
          <w:p w14:paraId="5B2FF581">
            <w:pPr>
              <w:spacing w:after="0"/>
              <w:jc w:val="center"/>
            </w:pPr>
            <w:r>
              <w:rPr>
                <w:rFonts w:ascii="宋体" w:hAnsi="宋体" w:eastAsia="宋体"/>
                <w:b w:val="0"/>
                <w:sz w:val="16"/>
              </w:rPr>
              <w:t>提升</w:t>
            </w:r>
          </w:p>
        </w:tc>
      </w:tr>
      <w:tr w14:paraId="0634F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18D5CC81">
            <w:pPr>
              <w:spacing w:after="0"/>
              <w:jc w:val="left"/>
            </w:pPr>
          </w:p>
        </w:tc>
        <w:tc>
          <w:tcPr>
            <w:tcW w:w="1531" w:type="dxa"/>
            <w:vAlign w:val="center"/>
          </w:tcPr>
          <w:p w14:paraId="6C04D15A">
            <w:pPr>
              <w:spacing w:after="0"/>
              <w:jc w:val="left"/>
            </w:pPr>
            <w:r>
              <w:rPr>
                <w:rFonts w:ascii="宋体" w:hAnsi="宋体" w:eastAsia="宋体"/>
                <w:b w:val="0"/>
                <w:sz w:val="16"/>
              </w:rPr>
              <w:t>智能康复辅具</w:t>
            </w:r>
          </w:p>
        </w:tc>
        <w:tc>
          <w:tcPr>
            <w:tcW w:w="1644" w:type="dxa"/>
            <w:vAlign w:val="center"/>
          </w:tcPr>
          <w:p w14:paraId="26C036C6">
            <w:pPr>
              <w:spacing w:after="0"/>
              <w:jc w:val="left"/>
            </w:pPr>
            <w:r>
              <w:rPr>
                <w:rFonts w:ascii="宋体" w:hAnsi="宋体" w:eastAsia="宋体"/>
                <w:b w:val="0"/>
                <w:sz w:val="16"/>
              </w:rPr>
              <w:t>按需配置</w:t>
            </w:r>
          </w:p>
        </w:tc>
        <w:tc>
          <w:tcPr>
            <w:tcW w:w="3345" w:type="dxa"/>
            <w:vAlign w:val="center"/>
          </w:tcPr>
          <w:p w14:paraId="28FA55EC">
            <w:pPr>
              <w:spacing w:after="0"/>
              <w:jc w:val="left"/>
            </w:pPr>
            <w:r>
              <w:rPr>
                <w:rFonts w:ascii="宋体" w:hAnsi="宋体" w:eastAsia="宋体"/>
                <w:b w:val="0"/>
                <w:sz w:val="16"/>
              </w:rPr>
              <w:t>智能助行器、智能轮椅、助听设备、导盲装置、认知提醒、防走失定位</w:t>
            </w:r>
          </w:p>
        </w:tc>
        <w:tc>
          <w:tcPr>
            <w:tcW w:w="794" w:type="dxa"/>
            <w:vAlign w:val="center"/>
          </w:tcPr>
          <w:p w14:paraId="68851E1F">
            <w:pPr>
              <w:spacing w:after="0"/>
              <w:jc w:val="center"/>
            </w:pPr>
            <w:r>
              <w:rPr>
                <w:rFonts w:ascii="宋体" w:hAnsi="宋体" w:eastAsia="宋体"/>
                <w:b w:val="0"/>
                <w:sz w:val="16"/>
              </w:rPr>
              <w:t>提升</w:t>
            </w:r>
          </w:p>
        </w:tc>
      </w:tr>
      <w:tr w14:paraId="00D55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2D8286BC">
            <w:pPr>
              <w:spacing w:after="0"/>
              <w:jc w:val="left"/>
            </w:pPr>
            <w:r>
              <w:rPr>
                <w:rFonts w:ascii="宋体" w:hAnsi="宋体" w:eastAsia="宋体"/>
                <w:b w:val="0"/>
                <w:sz w:val="16"/>
              </w:rPr>
              <w:t>智能社交与精神慰藉</w:t>
            </w:r>
          </w:p>
        </w:tc>
        <w:tc>
          <w:tcPr>
            <w:tcW w:w="1531" w:type="dxa"/>
            <w:vAlign w:val="center"/>
          </w:tcPr>
          <w:p w14:paraId="3778F6C4">
            <w:pPr>
              <w:spacing w:after="0"/>
              <w:jc w:val="left"/>
            </w:pPr>
            <w:r>
              <w:rPr>
                <w:rFonts w:ascii="宋体" w:hAnsi="宋体" w:eastAsia="宋体"/>
                <w:b w:val="0"/>
                <w:sz w:val="16"/>
              </w:rPr>
              <w:t>适老智能终端</w:t>
            </w:r>
          </w:p>
        </w:tc>
        <w:tc>
          <w:tcPr>
            <w:tcW w:w="1644" w:type="dxa"/>
            <w:vAlign w:val="center"/>
          </w:tcPr>
          <w:p w14:paraId="06F415F1">
            <w:pPr>
              <w:spacing w:after="0"/>
              <w:jc w:val="left"/>
            </w:pPr>
            <w:r>
              <w:rPr>
                <w:rFonts w:ascii="宋体" w:hAnsi="宋体" w:eastAsia="宋体"/>
                <w:b w:val="0"/>
                <w:sz w:val="16"/>
              </w:rPr>
              <w:t>起居室（厅）、卧室</w:t>
            </w:r>
          </w:p>
        </w:tc>
        <w:tc>
          <w:tcPr>
            <w:tcW w:w="3345" w:type="dxa"/>
            <w:vAlign w:val="center"/>
          </w:tcPr>
          <w:p w14:paraId="67D330A0">
            <w:pPr>
              <w:spacing w:after="0"/>
              <w:jc w:val="left"/>
            </w:pPr>
            <w:r>
              <w:rPr>
                <w:rFonts w:ascii="宋体" w:hAnsi="宋体" w:eastAsia="宋体"/>
                <w:b w:val="0"/>
                <w:sz w:val="16"/>
              </w:rPr>
              <w:t>大字体大图标、视频通话、语音交互、在线内容服务</w:t>
            </w:r>
          </w:p>
        </w:tc>
        <w:tc>
          <w:tcPr>
            <w:tcW w:w="794" w:type="dxa"/>
            <w:vAlign w:val="center"/>
          </w:tcPr>
          <w:p w14:paraId="2D76323B">
            <w:pPr>
              <w:spacing w:after="0"/>
              <w:jc w:val="center"/>
            </w:pPr>
            <w:r>
              <w:rPr>
                <w:rFonts w:ascii="宋体" w:hAnsi="宋体" w:eastAsia="宋体"/>
                <w:b w:val="0"/>
                <w:sz w:val="16"/>
              </w:rPr>
              <w:t>提升</w:t>
            </w:r>
          </w:p>
        </w:tc>
      </w:tr>
      <w:tr w14:paraId="10385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2850B891">
            <w:pPr>
              <w:spacing w:after="0"/>
              <w:jc w:val="left"/>
            </w:pPr>
            <w:r>
              <w:rPr>
                <w:rFonts w:ascii="宋体" w:hAnsi="宋体" w:eastAsia="宋体"/>
                <w:b w:val="0"/>
                <w:sz w:val="16"/>
              </w:rPr>
              <w:t>社区公共区域</w:t>
            </w:r>
          </w:p>
        </w:tc>
        <w:tc>
          <w:tcPr>
            <w:tcW w:w="1531" w:type="dxa"/>
            <w:vAlign w:val="center"/>
          </w:tcPr>
          <w:p w14:paraId="169F3FBD">
            <w:pPr>
              <w:spacing w:after="0"/>
              <w:jc w:val="left"/>
            </w:pPr>
            <w:r>
              <w:rPr>
                <w:rFonts w:ascii="宋体" w:hAnsi="宋体" w:eastAsia="宋体"/>
                <w:b w:val="0"/>
                <w:sz w:val="16"/>
              </w:rPr>
              <w:t>紧急求助装置</w:t>
            </w:r>
          </w:p>
        </w:tc>
        <w:tc>
          <w:tcPr>
            <w:tcW w:w="1644" w:type="dxa"/>
            <w:vAlign w:val="center"/>
          </w:tcPr>
          <w:p w14:paraId="5088BE43">
            <w:pPr>
              <w:spacing w:after="0"/>
              <w:jc w:val="left"/>
            </w:pPr>
            <w:r>
              <w:rPr>
                <w:rFonts w:ascii="宋体" w:hAnsi="宋体" w:eastAsia="宋体"/>
                <w:b w:val="0"/>
                <w:sz w:val="16"/>
              </w:rPr>
              <w:t>公共活动区、休息区、公共卫生间、电梯厅、走廊</w:t>
            </w:r>
          </w:p>
        </w:tc>
        <w:tc>
          <w:tcPr>
            <w:tcW w:w="3345" w:type="dxa"/>
            <w:vAlign w:val="center"/>
          </w:tcPr>
          <w:p w14:paraId="001627C3">
            <w:pPr>
              <w:spacing w:after="0"/>
              <w:jc w:val="left"/>
            </w:pPr>
            <w:r>
              <w:rPr>
                <w:rFonts w:ascii="宋体" w:hAnsi="宋体" w:eastAsia="宋体"/>
                <w:b w:val="0"/>
                <w:sz w:val="16"/>
              </w:rPr>
              <w:t>一键触发、语音对讲，信号传送至监控室或物业服务中心</w:t>
            </w:r>
          </w:p>
        </w:tc>
        <w:tc>
          <w:tcPr>
            <w:tcW w:w="794" w:type="dxa"/>
            <w:vAlign w:val="center"/>
          </w:tcPr>
          <w:p w14:paraId="064674DB">
            <w:pPr>
              <w:spacing w:after="0"/>
              <w:jc w:val="center"/>
            </w:pPr>
            <w:r>
              <w:rPr>
                <w:rFonts w:ascii="宋体" w:hAnsi="宋体" w:eastAsia="宋体"/>
                <w:b w:val="0"/>
                <w:sz w:val="16"/>
              </w:rPr>
              <w:t>基础</w:t>
            </w:r>
          </w:p>
        </w:tc>
      </w:tr>
      <w:tr w14:paraId="7665F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4D4D21CD">
            <w:pPr>
              <w:spacing w:after="0"/>
              <w:jc w:val="left"/>
            </w:pPr>
          </w:p>
        </w:tc>
        <w:tc>
          <w:tcPr>
            <w:tcW w:w="1531" w:type="dxa"/>
            <w:vAlign w:val="center"/>
          </w:tcPr>
          <w:p w14:paraId="12681738">
            <w:pPr>
              <w:spacing w:after="0"/>
              <w:jc w:val="left"/>
            </w:pPr>
            <w:r>
              <w:rPr>
                <w:rFonts w:ascii="宋体" w:hAnsi="宋体" w:eastAsia="宋体"/>
                <w:b w:val="0"/>
                <w:sz w:val="16"/>
              </w:rPr>
              <w:t>智能门禁、访客对讲</w:t>
            </w:r>
          </w:p>
        </w:tc>
        <w:tc>
          <w:tcPr>
            <w:tcW w:w="1644" w:type="dxa"/>
            <w:vAlign w:val="center"/>
          </w:tcPr>
          <w:p w14:paraId="392B074E">
            <w:pPr>
              <w:spacing w:after="0"/>
              <w:jc w:val="left"/>
            </w:pPr>
            <w:r>
              <w:rPr>
                <w:rFonts w:ascii="宋体" w:hAnsi="宋体" w:eastAsia="宋体"/>
                <w:b w:val="0"/>
                <w:sz w:val="16"/>
              </w:rPr>
              <w:t>社区及单元出入口</w:t>
            </w:r>
          </w:p>
        </w:tc>
        <w:tc>
          <w:tcPr>
            <w:tcW w:w="3345" w:type="dxa"/>
            <w:vAlign w:val="center"/>
          </w:tcPr>
          <w:p w14:paraId="0A962A07">
            <w:pPr>
              <w:spacing w:after="0"/>
              <w:jc w:val="left"/>
            </w:pPr>
            <w:r>
              <w:rPr>
                <w:rFonts w:ascii="宋体" w:hAnsi="宋体" w:eastAsia="宋体"/>
                <w:b w:val="0"/>
                <w:sz w:val="16"/>
              </w:rPr>
              <w:t>人脸/感应卡/二维码无接触开启，保留传统方式，语音声光多种门铃提示</w:t>
            </w:r>
          </w:p>
        </w:tc>
        <w:tc>
          <w:tcPr>
            <w:tcW w:w="794" w:type="dxa"/>
            <w:vAlign w:val="center"/>
          </w:tcPr>
          <w:p w14:paraId="3576E71D">
            <w:pPr>
              <w:spacing w:after="0"/>
              <w:jc w:val="center"/>
            </w:pPr>
            <w:r>
              <w:rPr>
                <w:rFonts w:ascii="宋体" w:hAnsi="宋体" w:eastAsia="宋体"/>
                <w:b w:val="0"/>
                <w:sz w:val="16"/>
              </w:rPr>
              <w:t>基础</w:t>
            </w:r>
          </w:p>
        </w:tc>
      </w:tr>
      <w:tr w14:paraId="725B6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729129C6">
            <w:pPr>
              <w:spacing w:after="0"/>
              <w:jc w:val="left"/>
            </w:pPr>
          </w:p>
        </w:tc>
        <w:tc>
          <w:tcPr>
            <w:tcW w:w="1531" w:type="dxa"/>
            <w:vAlign w:val="center"/>
          </w:tcPr>
          <w:p w14:paraId="4C357E13">
            <w:pPr>
              <w:spacing w:after="0"/>
              <w:jc w:val="left"/>
            </w:pPr>
            <w:r>
              <w:rPr>
                <w:rFonts w:ascii="宋体" w:hAnsi="宋体" w:eastAsia="宋体"/>
                <w:b w:val="0"/>
                <w:sz w:val="16"/>
              </w:rPr>
              <w:t>视频监控设施</w:t>
            </w:r>
          </w:p>
        </w:tc>
        <w:tc>
          <w:tcPr>
            <w:tcW w:w="1644" w:type="dxa"/>
            <w:vAlign w:val="center"/>
          </w:tcPr>
          <w:p w14:paraId="0F438547">
            <w:pPr>
              <w:spacing w:after="0"/>
              <w:jc w:val="left"/>
            </w:pPr>
            <w:r>
              <w:rPr>
                <w:rFonts w:ascii="宋体" w:hAnsi="宋体" w:eastAsia="宋体"/>
                <w:b w:val="0"/>
                <w:sz w:val="16"/>
              </w:rPr>
              <w:t>公共活动场所、单元出入口</w:t>
            </w:r>
          </w:p>
        </w:tc>
        <w:tc>
          <w:tcPr>
            <w:tcW w:w="3345" w:type="dxa"/>
            <w:vAlign w:val="center"/>
          </w:tcPr>
          <w:p w14:paraId="2BF68E66">
            <w:pPr>
              <w:spacing w:after="0"/>
              <w:jc w:val="left"/>
            </w:pPr>
            <w:r>
              <w:rPr>
                <w:rFonts w:ascii="宋体" w:hAnsi="宋体" w:eastAsia="宋体"/>
                <w:b w:val="0"/>
                <w:sz w:val="16"/>
              </w:rPr>
              <w:t>图像传送至监控主机，宜具备跌倒识别；个人图像模糊化处理</w:t>
            </w:r>
          </w:p>
        </w:tc>
        <w:tc>
          <w:tcPr>
            <w:tcW w:w="794" w:type="dxa"/>
            <w:vAlign w:val="center"/>
          </w:tcPr>
          <w:p w14:paraId="63A1E99E">
            <w:pPr>
              <w:spacing w:after="0"/>
              <w:jc w:val="center"/>
            </w:pPr>
            <w:r>
              <w:rPr>
                <w:rFonts w:ascii="宋体" w:hAnsi="宋体" w:eastAsia="宋体"/>
                <w:b w:val="0"/>
                <w:sz w:val="16"/>
              </w:rPr>
              <w:t>基础</w:t>
            </w:r>
          </w:p>
        </w:tc>
      </w:tr>
      <w:tr w14:paraId="4806D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004F8B7A">
            <w:pPr>
              <w:spacing w:after="0"/>
              <w:jc w:val="left"/>
            </w:pPr>
          </w:p>
        </w:tc>
        <w:tc>
          <w:tcPr>
            <w:tcW w:w="1531" w:type="dxa"/>
            <w:vAlign w:val="center"/>
          </w:tcPr>
          <w:p w14:paraId="157FA0E0">
            <w:pPr>
              <w:spacing w:after="0"/>
              <w:jc w:val="left"/>
            </w:pPr>
            <w:r>
              <w:rPr>
                <w:rFonts w:ascii="宋体" w:hAnsi="宋体" w:eastAsia="宋体"/>
                <w:b w:val="0"/>
                <w:sz w:val="16"/>
              </w:rPr>
              <w:t>智能感烟探测器</w:t>
            </w:r>
          </w:p>
        </w:tc>
        <w:tc>
          <w:tcPr>
            <w:tcW w:w="1644" w:type="dxa"/>
            <w:vAlign w:val="center"/>
          </w:tcPr>
          <w:p w14:paraId="3889934A">
            <w:pPr>
              <w:spacing w:after="0"/>
              <w:jc w:val="left"/>
            </w:pPr>
            <w:r>
              <w:rPr>
                <w:rFonts w:ascii="宋体" w:hAnsi="宋体" w:eastAsia="宋体"/>
                <w:b w:val="0"/>
                <w:sz w:val="16"/>
              </w:rPr>
              <w:t>楼栋出入口、电梯厅、走廊、楼梯间</w:t>
            </w:r>
          </w:p>
        </w:tc>
        <w:tc>
          <w:tcPr>
            <w:tcW w:w="3345" w:type="dxa"/>
            <w:vAlign w:val="center"/>
          </w:tcPr>
          <w:p w14:paraId="4A392758">
            <w:pPr>
              <w:spacing w:after="0"/>
              <w:jc w:val="left"/>
            </w:pPr>
            <w:r>
              <w:rPr>
                <w:rFonts w:ascii="宋体" w:hAnsi="宋体" w:eastAsia="宋体"/>
                <w:b w:val="0"/>
                <w:sz w:val="16"/>
              </w:rPr>
              <w:t>火灾探测报警</w:t>
            </w:r>
          </w:p>
        </w:tc>
        <w:tc>
          <w:tcPr>
            <w:tcW w:w="794" w:type="dxa"/>
            <w:vAlign w:val="center"/>
          </w:tcPr>
          <w:p w14:paraId="777889CE">
            <w:pPr>
              <w:spacing w:after="0"/>
              <w:jc w:val="center"/>
            </w:pPr>
            <w:r>
              <w:rPr>
                <w:rFonts w:ascii="宋体" w:hAnsi="宋体" w:eastAsia="宋体"/>
                <w:b w:val="0"/>
                <w:sz w:val="16"/>
              </w:rPr>
              <w:t>基础</w:t>
            </w:r>
          </w:p>
        </w:tc>
      </w:tr>
      <w:tr w14:paraId="0599E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4BE8D103">
            <w:pPr>
              <w:spacing w:after="0"/>
              <w:jc w:val="left"/>
            </w:pPr>
          </w:p>
        </w:tc>
        <w:tc>
          <w:tcPr>
            <w:tcW w:w="1531" w:type="dxa"/>
            <w:vAlign w:val="center"/>
          </w:tcPr>
          <w:p w14:paraId="1066C3BD">
            <w:pPr>
              <w:spacing w:after="0"/>
              <w:jc w:val="left"/>
            </w:pPr>
            <w:r>
              <w:rPr>
                <w:rFonts w:ascii="宋体" w:hAnsi="宋体" w:eastAsia="宋体"/>
                <w:b w:val="0"/>
                <w:sz w:val="16"/>
              </w:rPr>
              <w:t>电梯智能监测</w:t>
            </w:r>
          </w:p>
        </w:tc>
        <w:tc>
          <w:tcPr>
            <w:tcW w:w="1644" w:type="dxa"/>
            <w:vAlign w:val="center"/>
          </w:tcPr>
          <w:p w14:paraId="63DDF527">
            <w:pPr>
              <w:spacing w:after="0"/>
              <w:jc w:val="left"/>
            </w:pPr>
            <w:r>
              <w:rPr>
                <w:rFonts w:ascii="宋体" w:hAnsi="宋体" w:eastAsia="宋体"/>
                <w:b w:val="0"/>
                <w:sz w:val="16"/>
              </w:rPr>
              <w:t>电梯</w:t>
            </w:r>
          </w:p>
        </w:tc>
        <w:tc>
          <w:tcPr>
            <w:tcW w:w="3345" w:type="dxa"/>
            <w:vAlign w:val="center"/>
          </w:tcPr>
          <w:p w14:paraId="43FC4993">
            <w:pPr>
              <w:spacing w:after="0"/>
              <w:jc w:val="left"/>
            </w:pPr>
            <w:r>
              <w:rPr>
                <w:rFonts w:ascii="宋体" w:hAnsi="宋体" w:eastAsia="宋体"/>
                <w:b w:val="0"/>
                <w:sz w:val="16"/>
              </w:rPr>
              <w:t>故障自动报警、困人自动呼救，无接触乘梯</w:t>
            </w:r>
          </w:p>
        </w:tc>
        <w:tc>
          <w:tcPr>
            <w:tcW w:w="794" w:type="dxa"/>
            <w:vAlign w:val="center"/>
          </w:tcPr>
          <w:p w14:paraId="50E1596D">
            <w:pPr>
              <w:spacing w:after="0"/>
              <w:jc w:val="center"/>
            </w:pPr>
            <w:r>
              <w:rPr>
                <w:rFonts w:ascii="宋体" w:hAnsi="宋体" w:eastAsia="宋体"/>
                <w:b w:val="0"/>
                <w:sz w:val="16"/>
              </w:rPr>
              <w:t>提升</w:t>
            </w:r>
          </w:p>
        </w:tc>
      </w:tr>
      <w:tr w14:paraId="18125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16BE1E62">
            <w:pPr>
              <w:spacing w:after="0"/>
              <w:jc w:val="left"/>
            </w:pPr>
          </w:p>
        </w:tc>
        <w:tc>
          <w:tcPr>
            <w:tcW w:w="1531" w:type="dxa"/>
            <w:vAlign w:val="center"/>
          </w:tcPr>
          <w:p w14:paraId="0456FCFB">
            <w:pPr>
              <w:spacing w:after="0"/>
              <w:jc w:val="left"/>
            </w:pPr>
            <w:r>
              <w:rPr>
                <w:rFonts w:ascii="宋体" w:hAnsi="宋体" w:eastAsia="宋体"/>
                <w:b w:val="0"/>
                <w:sz w:val="16"/>
              </w:rPr>
              <w:t>社区智慧养老服务平台</w:t>
            </w:r>
          </w:p>
        </w:tc>
        <w:tc>
          <w:tcPr>
            <w:tcW w:w="1644" w:type="dxa"/>
            <w:vAlign w:val="center"/>
          </w:tcPr>
          <w:p w14:paraId="7F6E7203">
            <w:pPr>
              <w:spacing w:after="0"/>
              <w:jc w:val="left"/>
            </w:pPr>
            <w:r>
              <w:rPr>
                <w:rFonts w:ascii="宋体" w:hAnsi="宋体" w:eastAsia="宋体"/>
                <w:b w:val="0"/>
                <w:sz w:val="16"/>
              </w:rPr>
              <w:t>平台端</w:t>
            </w:r>
          </w:p>
        </w:tc>
        <w:tc>
          <w:tcPr>
            <w:tcW w:w="3345" w:type="dxa"/>
            <w:vAlign w:val="center"/>
          </w:tcPr>
          <w:p w14:paraId="5C5A7CA3">
            <w:pPr>
              <w:spacing w:after="0"/>
              <w:jc w:val="left"/>
            </w:pPr>
            <w:r>
              <w:rPr>
                <w:rFonts w:ascii="宋体" w:hAnsi="宋体" w:eastAsia="宋体"/>
                <w:b w:val="0"/>
                <w:sz w:val="16"/>
              </w:rPr>
              <w:t>安全监护、健康管理、服务预约、主动关怀、多端应用，预留医养接口</w:t>
            </w:r>
          </w:p>
        </w:tc>
        <w:tc>
          <w:tcPr>
            <w:tcW w:w="794" w:type="dxa"/>
            <w:vAlign w:val="center"/>
          </w:tcPr>
          <w:p w14:paraId="2AC9AEDB">
            <w:pPr>
              <w:spacing w:after="0"/>
              <w:jc w:val="center"/>
            </w:pPr>
            <w:r>
              <w:rPr>
                <w:rFonts w:ascii="宋体" w:hAnsi="宋体" w:eastAsia="宋体"/>
                <w:b w:val="0"/>
                <w:sz w:val="16"/>
              </w:rPr>
              <w:t>提升</w:t>
            </w:r>
          </w:p>
        </w:tc>
      </w:tr>
      <w:tr w14:paraId="0D703A89">
        <w:tblPrEx>
          <w:tblCellMar>
            <w:top w:w="0" w:type="dxa"/>
            <w:left w:w="108" w:type="dxa"/>
            <w:bottom w:w="0" w:type="dxa"/>
            <w:right w:w="108" w:type="dxa"/>
          </w:tblCellMar>
        </w:tblPrEx>
        <w:trPr>
          <w:jc w:val="center"/>
        </w:trPr>
        <w:tc>
          <w:tcPr>
            <w:tcW w:w="1077" w:type="dxa"/>
            <w:vAlign w:val="center"/>
          </w:tcPr>
          <w:p w14:paraId="673DB3AA">
            <w:pPr>
              <w:spacing w:after="0"/>
              <w:jc w:val="left"/>
            </w:pPr>
          </w:p>
        </w:tc>
        <w:tc>
          <w:tcPr>
            <w:tcW w:w="1531" w:type="dxa"/>
            <w:vAlign w:val="center"/>
          </w:tcPr>
          <w:p w14:paraId="36A8A7F1">
            <w:pPr>
              <w:spacing w:after="0"/>
              <w:jc w:val="left"/>
            </w:pPr>
            <w:r>
              <w:rPr>
                <w:rFonts w:ascii="宋体" w:hAnsi="宋体" w:eastAsia="宋体"/>
                <w:b w:val="0"/>
                <w:sz w:val="16"/>
              </w:rPr>
              <w:t>防走失提醒</w:t>
            </w:r>
          </w:p>
        </w:tc>
        <w:tc>
          <w:tcPr>
            <w:tcW w:w="1644" w:type="dxa"/>
            <w:vAlign w:val="center"/>
          </w:tcPr>
          <w:p w14:paraId="404F15FF">
            <w:pPr>
              <w:spacing w:after="0"/>
              <w:jc w:val="left"/>
            </w:pPr>
            <w:r>
              <w:rPr>
                <w:rFonts w:ascii="宋体" w:hAnsi="宋体" w:eastAsia="宋体"/>
                <w:b w:val="0"/>
                <w:sz w:val="16"/>
              </w:rPr>
              <w:t>社区出入口</w:t>
            </w:r>
          </w:p>
        </w:tc>
        <w:tc>
          <w:tcPr>
            <w:tcW w:w="3345" w:type="dxa"/>
            <w:vAlign w:val="center"/>
          </w:tcPr>
          <w:p w14:paraId="27553B91">
            <w:pPr>
              <w:spacing w:after="0"/>
              <w:jc w:val="left"/>
            </w:pPr>
            <w:r>
              <w:rPr>
                <w:rFonts w:ascii="宋体" w:hAnsi="宋体" w:eastAsia="宋体"/>
                <w:b w:val="0"/>
                <w:sz w:val="16"/>
              </w:rPr>
              <w:t>认知障碍老年人独自离社区自动通知家属或社区服务人员</w:t>
            </w:r>
          </w:p>
        </w:tc>
        <w:tc>
          <w:tcPr>
            <w:tcW w:w="794" w:type="dxa"/>
            <w:vAlign w:val="center"/>
          </w:tcPr>
          <w:p w14:paraId="2B772216">
            <w:pPr>
              <w:spacing w:after="0"/>
              <w:jc w:val="center"/>
            </w:pPr>
            <w:r>
              <w:rPr>
                <w:rFonts w:ascii="宋体" w:hAnsi="宋体" w:eastAsia="宋体"/>
                <w:b w:val="0"/>
                <w:sz w:val="16"/>
              </w:rPr>
              <w:t>提升</w:t>
            </w:r>
          </w:p>
        </w:tc>
      </w:tr>
      <w:tr w14:paraId="0C8B3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77" w:type="dxa"/>
            <w:vAlign w:val="center"/>
          </w:tcPr>
          <w:p w14:paraId="5C2FB1CE">
            <w:pPr>
              <w:spacing w:after="0"/>
              <w:jc w:val="left"/>
            </w:pPr>
          </w:p>
        </w:tc>
        <w:tc>
          <w:tcPr>
            <w:tcW w:w="1531" w:type="dxa"/>
            <w:vAlign w:val="center"/>
          </w:tcPr>
          <w:p w14:paraId="107974FE">
            <w:pPr>
              <w:spacing w:after="0"/>
              <w:jc w:val="left"/>
            </w:pPr>
            <w:r>
              <w:rPr>
                <w:rFonts w:ascii="宋体" w:hAnsi="宋体" w:eastAsia="宋体"/>
                <w:b w:val="0"/>
                <w:sz w:val="16"/>
              </w:rPr>
              <w:t>智能导引与信息发布</w:t>
            </w:r>
          </w:p>
        </w:tc>
        <w:tc>
          <w:tcPr>
            <w:tcW w:w="1644" w:type="dxa"/>
            <w:vAlign w:val="center"/>
          </w:tcPr>
          <w:p w14:paraId="1BEC3059">
            <w:pPr>
              <w:spacing w:after="0"/>
              <w:jc w:val="left"/>
            </w:pPr>
            <w:r>
              <w:rPr>
                <w:rFonts w:ascii="宋体" w:hAnsi="宋体" w:eastAsia="宋体"/>
                <w:b w:val="0"/>
                <w:sz w:val="16"/>
              </w:rPr>
              <w:t>社区主要出入口、公共活动区域</w:t>
            </w:r>
          </w:p>
        </w:tc>
        <w:tc>
          <w:tcPr>
            <w:tcW w:w="3345" w:type="dxa"/>
            <w:vAlign w:val="center"/>
          </w:tcPr>
          <w:p w14:paraId="23A52C58">
            <w:pPr>
              <w:spacing w:after="0"/>
              <w:jc w:val="left"/>
            </w:pPr>
            <w:r>
              <w:rPr>
                <w:rFonts w:ascii="宋体" w:hAnsi="宋体" w:eastAsia="宋体"/>
                <w:b w:val="0"/>
                <w:sz w:val="16"/>
              </w:rPr>
              <w:t>大字体高对比度显示；标识照明照度不低于50 lx</w:t>
            </w:r>
          </w:p>
        </w:tc>
        <w:tc>
          <w:tcPr>
            <w:tcW w:w="794" w:type="dxa"/>
            <w:vAlign w:val="center"/>
          </w:tcPr>
          <w:p w14:paraId="2AC6C957">
            <w:pPr>
              <w:spacing w:after="0"/>
              <w:jc w:val="center"/>
            </w:pPr>
            <w:r>
              <w:rPr>
                <w:rFonts w:ascii="宋体" w:hAnsi="宋体" w:eastAsia="宋体"/>
                <w:b w:val="0"/>
                <w:sz w:val="16"/>
              </w:rPr>
              <w:t>提升</w:t>
            </w:r>
          </w:p>
        </w:tc>
      </w:tr>
    </w:tbl>
    <w:p w14:paraId="47C7D1F0">
      <w:r>
        <w:br w:type="page"/>
      </w:r>
    </w:p>
    <w:p w14:paraId="4F51BF48">
      <w:pPr>
        <w:pStyle w:val="90"/>
        <w:shd w:val="clear" w:color="FFFFFF" w:fill="FFFFFF"/>
      </w:pPr>
      <w:bookmarkStart w:id="23" w:name="_Toc5023"/>
      <w:r>
        <w:t>附  录  B</w:t>
      </w:r>
      <w:bookmarkEnd w:id="23"/>
    </w:p>
    <w:p w14:paraId="3C54D820">
      <w:pPr>
        <w:pStyle w:val="98"/>
      </w:pPr>
      <w:r>
        <w:t>（资料性）</w:t>
      </w:r>
      <w:r>
        <w:br w:type="textWrapping"/>
      </w:r>
      <w:r>
        <w:t>社区居家适老智能化改造验收记录表</w:t>
      </w:r>
    </w:p>
    <w:p w14:paraId="1F4E603C">
      <w:pPr>
        <w:pStyle w:val="24"/>
      </w:pPr>
      <w:r>
        <w:t>表</w:t>
      </w:r>
      <w:r>
        <w:rPr>
          <w:rFonts w:hint="eastAsia"/>
          <w:lang w:val="en-US" w:eastAsia="zh-CN"/>
        </w:rPr>
        <w:t xml:space="preserve">B.1 </w:t>
      </w:r>
      <w:r>
        <w:t>给出了社区居家适老智能化改造验收记录表的示例。</w:t>
      </w:r>
    </w:p>
    <w:p w14:paraId="5C90E1D2">
      <w:pPr>
        <w:pStyle w:val="100"/>
        <w:numPr>
          <w:ilvl w:val="0"/>
          <w:numId w:val="0"/>
        </w:numPr>
        <w:jc w:val="center"/>
      </w:pPr>
      <w:r>
        <w:t>表</w:t>
      </w:r>
      <w:r>
        <w:rPr>
          <w:rFonts w:hint="eastAsia"/>
          <w:lang w:val="en-US" w:eastAsia="zh-CN"/>
        </w:rPr>
        <w:t>B.1</w:t>
      </w:r>
      <w:r>
        <w:t xml:space="preserve">  社区居家适老智能化改造验收记录表</w:t>
      </w:r>
    </w:p>
    <w:tbl>
      <w:tblPr>
        <w:tblStyle w:val="3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80"/>
        <w:gridCol w:w="1814"/>
        <w:gridCol w:w="4535"/>
        <w:gridCol w:w="1587"/>
      </w:tblGrid>
      <w:tr w14:paraId="77BB0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56B0ED06">
            <w:pPr>
              <w:spacing w:after="0"/>
              <w:jc w:val="center"/>
            </w:pPr>
            <w:r>
              <w:rPr>
                <w:rFonts w:ascii="宋体" w:hAnsi="宋体" w:eastAsia="宋体"/>
                <w:b/>
                <w:sz w:val="16"/>
              </w:rPr>
              <w:t>序号</w:t>
            </w:r>
          </w:p>
        </w:tc>
        <w:tc>
          <w:tcPr>
            <w:tcW w:w="1814" w:type="dxa"/>
            <w:vAlign w:val="center"/>
          </w:tcPr>
          <w:p w14:paraId="35921180">
            <w:pPr>
              <w:spacing w:after="0"/>
              <w:jc w:val="center"/>
            </w:pPr>
            <w:r>
              <w:rPr>
                <w:rFonts w:ascii="宋体" w:hAnsi="宋体" w:eastAsia="宋体"/>
                <w:b/>
                <w:sz w:val="16"/>
              </w:rPr>
              <w:t>验收项目</w:t>
            </w:r>
          </w:p>
        </w:tc>
        <w:tc>
          <w:tcPr>
            <w:tcW w:w="4535" w:type="dxa"/>
            <w:vAlign w:val="center"/>
          </w:tcPr>
          <w:p w14:paraId="1F0265F2">
            <w:pPr>
              <w:spacing w:after="0"/>
              <w:jc w:val="center"/>
            </w:pPr>
            <w:r>
              <w:rPr>
                <w:rFonts w:ascii="宋体" w:hAnsi="宋体" w:eastAsia="宋体"/>
                <w:b/>
                <w:sz w:val="16"/>
              </w:rPr>
              <w:t>验收内容与要求</w:t>
            </w:r>
          </w:p>
        </w:tc>
        <w:tc>
          <w:tcPr>
            <w:tcW w:w="1587" w:type="dxa"/>
            <w:vAlign w:val="center"/>
          </w:tcPr>
          <w:p w14:paraId="19826D62">
            <w:pPr>
              <w:spacing w:after="0"/>
              <w:jc w:val="center"/>
            </w:pPr>
            <w:r>
              <w:rPr>
                <w:rFonts w:ascii="宋体" w:hAnsi="宋体" w:eastAsia="宋体"/>
                <w:b/>
                <w:sz w:val="16"/>
              </w:rPr>
              <w:t>验收结果</w:t>
            </w:r>
          </w:p>
        </w:tc>
      </w:tr>
      <w:tr w14:paraId="05DF7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1559CADC">
            <w:pPr>
              <w:spacing w:after="0"/>
              <w:jc w:val="left"/>
            </w:pPr>
            <w:r>
              <w:rPr>
                <w:rFonts w:ascii="宋体" w:hAnsi="宋体" w:eastAsia="宋体"/>
                <w:b w:val="0"/>
                <w:sz w:val="16"/>
              </w:rPr>
              <w:t>1</w:t>
            </w:r>
          </w:p>
        </w:tc>
        <w:tc>
          <w:tcPr>
            <w:tcW w:w="1814" w:type="dxa"/>
            <w:vAlign w:val="center"/>
          </w:tcPr>
          <w:p w14:paraId="2D333321">
            <w:pPr>
              <w:spacing w:after="0"/>
              <w:jc w:val="left"/>
            </w:pPr>
            <w:r>
              <w:rPr>
                <w:rFonts w:ascii="宋体" w:hAnsi="宋体" w:eastAsia="宋体"/>
                <w:b w:val="0"/>
                <w:sz w:val="16"/>
              </w:rPr>
              <w:t>设备配置</w:t>
            </w:r>
          </w:p>
        </w:tc>
        <w:tc>
          <w:tcPr>
            <w:tcW w:w="4535" w:type="dxa"/>
            <w:vAlign w:val="center"/>
          </w:tcPr>
          <w:p w14:paraId="5645CEB3">
            <w:pPr>
              <w:spacing w:after="0"/>
              <w:jc w:val="left"/>
            </w:pPr>
            <w:r>
              <w:rPr>
                <w:rFonts w:ascii="宋体" w:hAnsi="宋体" w:eastAsia="宋体"/>
                <w:b w:val="0"/>
                <w:sz w:val="16"/>
              </w:rPr>
              <w:t>设备型号、数量、安装位置与改造方案一致，产品合格证明文件齐全</w:t>
            </w:r>
          </w:p>
        </w:tc>
        <w:tc>
          <w:tcPr>
            <w:tcW w:w="1587" w:type="dxa"/>
            <w:vAlign w:val="center"/>
          </w:tcPr>
          <w:p w14:paraId="725ABFA4">
            <w:pPr>
              <w:spacing w:after="0"/>
              <w:jc w:val="left"/>
            </w:pPr>
            <w:r>
              <w:rPr>
                <w:rFonts w:ascii="宋体" w:hAnsi="宋体" w:eastAsia="宋体"/>
                <w:b w:val="0"/>
                <w:sz w:val="16"/>
              </w:rPr>
              <w:t>□合格 □不合格</w:t>
            </w:r>
          </w:p>
        </w:tc>
      </w:tr>
      <w:tr w14:paraId="0A4E5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BBAD298">
            <w:pPr>
              <w:spacing w:after="0"/>
              <w:jc w:val="left"/>
            </w:pPr>
            <w:r>
              <w:rPr>
                <w:rFonts w:ascii="宋体" w:hAnsi="宋体" w:eastAsia="宋体"/>
                <w:b w:val="0"/>
                <w:sz w:val="16"/>
              </w:rPr>
              <w:t>2</w:t>
            </w:r>
          </w:p>
        </w:tc>
        <w:tc>
          <w:tcPr>
            <w:tcW w:w="1814" w:type="dxa"/>
            <w:vAlign w:val="center"/>
          </w:tcPr>
          <w:p w14:paraId="3B2F98C0">
            <w:pPr>
              <w:spacing w:after="0"/>
              <w:jc w:val="left"/>
            </w:pPr>
            <w:r>
              <w:rPr>
                <w:rFonts w:ascii="宋体" w:hAnsi="宋体" w:eastAsia="宋体"/>
                <w:b w:val="0"/>
                <w:sz w:val="16"/>
              </w:rPr>
              <w:t>紧急呼叫装置</w:t>
            </w:r>
          </w:p>
        </w:tc>
        <w:tc>
          <w:tcPr>
            <w:tcW w:w="4535" w:type="dxa"/>
            <w:vAlign w:val="center"/>
          </w:tcPr>
          <w:p w14:paraId="219A3D36">
            <w:pPr>
              <w:spacing w:after="0"/>
              <w:jc w:val="left"/>
            </w:pPr>
            <w:r>
              <w:rPr>
                <w:rFonts w:ascii="宋体" w:hAnsi="宋体" w:eastAsia="宋体"/>
                <w:b w:val="0"/>
                <w:sz w:val="16"/>
              </w:rPr>
              <w:t>固定式与便携式呼叫装置触发灵敏，报警信息同步到达家属端和平台端</w:t>
            </w:r>
          </w:p>
        </w:tc>
        <w:tc>
          <w:tcPr>
            <w:tcW w:w="1587" w:type="dxa"/>
            <w:vAlign w:val="center"/>
          </w:tcPr>
          <w:p w14:paraId="0663D3D6">
            <w:pPr>
              <w:spacing w:after="0"/>
              <w:jc w:val="left"/>
            </w:pPr>
            <w:r>
              <w:rPr>
                <w:rFonts w:ascii="宋体" w:hAnsi="宋体" w:eastAsia="宋体"/>
                <w:b w:val="0"/>
                <w:sz w:val="16"/>
              </w:rPr>
              <w:t>□合格 □不合格</w:t>
            </w:r>
          </w:p>
        </w:tc>
      </w:tr>
      <w:tr w14:paraId="0FD3E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47601D2F">
            <w:pPr>
              <w:spacing w:after="0"/>
              <w:jc w:val="left"/>
            </w:pPr>
            <w:r>
              <w:rPr>
                <w:rFonts w:ascii="宋体" w:hAnsi="宋体" w:eastAsia="宋体"/>
                <w:b w:val="0"/>
                <w:sz w:val="16"/>
              </w:rPr>
              <w:t>3</w:t>
            </w:r>
          </w:p>
        </w:tc>
        <w:tc>
          <w:tcPr>
            <w:tcW w:w="1814" w:type="dxa"/>
            <w:vAlign w:val="center"/>
          </w:tcPr>
          <w:p w14:paraId="2B7D442C">
            <w:pPr>
              <w:spacing w:after="0"/>
              <w:jc w:val="left"/>
            </w:pPr>
            <w:r>
              <w:rPr>
                <w:rFonts w:ascii="宋体" w:hAnsi="宋体" w:eastAsia="宋体"/>
                <w:b w:val="0"/>
                <w:sz w:val="16"/>
              </w:rPr>
              <w:t>火灾与燃气报警</w:t>
            </w:r>
          </w:p>
        </w:tc>
        <w:tc>
          <w:tcPr>
            <w:tcW w:w="4535" w:type="dxa"/>
            <w:vAlign w:val="center"/>
          </w:tcPr>
          <w:p w14:paraId="1229CEA2">
            <w:pPr>
              <w:spacing w:after="0"/>
              <w:jc w:val="left"/>
            </w:pPr>
            <w:r>
              <w:rPr>
                <w:rFonts w:ascii="宋体" w:hAnsi="宋体" w:eastAsia="宋体"/>
                <w:b w:val="0"/>
                <w:sz w:val="16"/>
              </w:rPr>
              <w:t>感烟/感温探测器、燃气报警器及自动切断装置功能正常，本地与远程报警有效</w:t>
            </w:r>
          </w:p>
        </w:tc>
        <w:tc>
          <w:tcPr>
            <w:tcW w:w="1587" w:type="dxa"/>
            <w:vAlign w:val="center"/>
          </w:tcPr>
          <w:p w14:paraId="1300752F">
            <w:pPr>
              <w:spacing w:after="0"/>
              <w:jc w:val="left"/>
            </w:pPr>
            <w:r>
              <w:rPr>
                <w:rFonts w:ascii="宋体" w:hAnsi="宋体" w:eastAsia="宋体"/>
                <w:b w:val="0"/>
                <w:sz w:val="16"/>
              </w:rPr>
              <w:t>□合格 □不合格</w:t>
            </w:r>
          </w:p>
        </w:tc>
      </w:tr>
      <w:tr w14:paraId="22FFB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0E332126">
            <w:pPr>
              <w:spacing w:after="0"/>
              <w:jc w:val="left"/>
            </w:pPr>
            <w:r>
              <w:rPr>
                <w:rFonts w:ascii="宋体" w:hAnsi="宋体" w:eastAsia="宋体"/>
                <w:b w:val="0"/>
                <w:sz w:val="16"/>
              </w:rPr>
              <w:t>4</w:t>
            </w:r>
          </w:p>
        </w:tc>
        <w:tc>
          <w:tcPr>
            <w:tcW w:w="1814" w:type="dxa"/>
            <w:vAlign w:val="center"/>
          </w:tcPr>
          <w:p w14:paraId="71492D99">
            <w:pPr>
              <w:spacing w:after="0"/>
              <w:jc w:val="left"/>
            </w:pPr>
            <w:r>
              <w:rPr>
                <w:rFonts w:ascii="宋体" w:hAnsi="宋体" w:eastAsia="宋体"/>
                <w:b w:val="0"/>
                <w:sz w:val="16"/>
              </w:rPr>
              <w:t>跌倒检测与活动监测</w:t>
            </w:r>
          </w:p>
        </w:tc>
        <w:tc>
          <w:tcPr>
            <w:tcW w:w="4535" w:type="dxa"/>
            <w:vAlign w:val="center"/>
          </w:tcPr>
          <w:p w14:paraId="1FD70854">
            <w:pPr>
              <w:spacing w:after="0"/>
              <w:jc w:val="left"/>
            </w:pPr>
            <w:r>
              <w:rPr>
                <w:rFonts w:ascii="宋体" w:hAnsi="宋体" w:eastAsia="宋体"/>
                <w:b w:val="0"/>
                <w:sz w:val="16"/>
              </w:rPr>
              <w:t>跌倒检测、人体感应、门磁感应功能正常，异常预警推送及时</w:t>
            </w:r>
          </w:p>
        </w:tc>
        <w:tc>
          <w:tcPr>
            <w:tcW w:w="1587" w:type="dxa"/>
            <w:vAlign w:val="center"/>
          </w:tcPr>
          <w:p w14:paraId="6D03A25D">
            <w:pPr>
              <w:spacing w:after="0"/>
              <w:jc w:val="left"/>
            </w:pPr>
            <w:r>
              <w:rPr>
                <w:rFonts w:ascii="宋体" w:hAnsi="宋体" w:eastAsia="宋体"/>
                <w:b w:val="0"/>
                <w:sz w:val="16"/>
              </w:rPr>
              <w:t>□合格 □不合格</w:t>
            </w:r>
          </w:p>
        </w:tc>
      </w:tr>
      <w:tr w14:paraId="4B9F7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4174B7A2">
            <w:pPr>
              <w:spacing w:after="0"/>
              <w:jc w:val="left"/>
            </w:pPr>
            <w:r>
              <w:rPr>
                <w:rFonts w:ascii="宋体" w:hAnsi="宋体" w:eastAsia="宋体"/>
                <w:b w:val="0"/>
                <w:sz w:val="16"/>
              </w:rPr>
              <w:t>5</w:t>
            </w:r>
          </w:p>
        </w:tc>
        <w:tc>
          <w:tcPr>
            <w:tcW w:w="1814" w:type="dxa"/>
            <w:vAlign w:val="center"/>
          </w:tcPr>
          <w:p w14:paraId="0C18959D">
            <w:pPr>
              <w:spacing w:after="0"/>
              <w:jc w:val="left"/>
            </w:pPr>
            <w:r>
              <w:rPr>
                <w:rFonts w:ascii="宋体" w:hAnsi="宋体" w:eastAsia="宋体"/>
                <w:b w:val="0"/>
                <w:sz w:val="16"/>
              </w:rPr>
              <w:t>健康监测设备</w:t>
            </w:r>
          </w:p>
        </w:tc>
        <w:tc>
          <w:tcPr>
            <w:tcW w:w="4535" w:type="dxa"/>
            <w:vAlign w:val="center"/>
          </w:tcPr>
          <w:p w14:paraId="58735C43">
            <w:pPr>
              <w:spacing w:after="0"/>
              <w:jc w:val="left"/>
            </w:pPr>
            <w:r>
              <w:rPr>
                <w:rFonts w:ascii="宋体" w:hAnsi="宋体" w:eastAsia="宋体"/>
                <w:b w:val="0"/>
                <w:sz w:val="16"/>
              </w:rPr>
              <w:t>可穿戴设备、睡眠监测设备数据采集与预警功能正常</w:t>
            </w:r>
          </w:p>
        </w:tc>
        <w:tc>
          <w:tcPr>
            <w:tcW w:w="1587" w:type="dxa"/>
            <w:vAlign w:val="center"/>
          </w:tcPr>
          <w:p w14:paraId="685B9EE4">
            <w:pPr>
              <w:spacing w:after="0"/>
              <w:jc w:val="left"/>
            </w:pPr>
            <w:r>
              <w:rPr>
                <w:rFonts w:ascii="宋体" w:hAnsi="宋体" w:eastAsia="宋体"/>
                <w:b w:val="0"/>
                <w:sz w:val="16"/>
              </w:rPr>
              <w:t>□合格 □不合格</w:t>
            </w:r>
          </w:p>
        </w:tc>
      </w:tr>
      <w:tr w14:paraId="739EC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64ECAD52">
            <w:pPr>
              <w:spacing w:after="0"/>
              <w:jc w:val="left"/>
            </w:pPr>
            <w:r>
              <w:rPr>
                <w:rFonts w:ascii="宋体" w:hAnsi="宋体" w:eastAsia="宋体"/>
                <w:b w:val="0"/>
                <w:sz w:val="16"/>
              </w:rPr>
              <w:t>6</w:t>
            </w:r>
          </w:p>
        </w:tc>
        <w:tc>
          <w:tcPr>
            <w:tcW w:w="1814" w:type="dxa"/>
            <w:vAlign w:val="center"/>
          </w:tcPr>
          <w:p w14:paraId="34DD9710">
            <w:pPr>
              <w:spacing w:after="0"/>
              <w:jc w:val="left"/>
            </w:pPr>
            <w:r>
              <w:rPr>
                <w:rFonts w:ascii="宋体" w:hAnsi="宋体" w:eastAsia="宋体"/>
                <w:b w:val="0"/>
                <w:sz w:val="16"/>
              </w:rPr>
              <w:t>智能环境控制</w:t>
            </w:r>
          </w:p>
        </w:tc>
        <w:tc>
          <w:tcPr>
            <w:tcW w:w="4535" w:type="dxa"/>
            <w:vAlign w:val="center"/>
          </w:tcPr>
          <w:p w14:paraId="09C3000D">
            <w:pPr>
              <w:spacing w:after="0"/>
              <w:jc w:val="left"/>
            </w:pPr>
            <w:r>
              <w:rPr>
                <w:rFonts w:ascii="宋体" w:hAnsi="宋体" w:eastAsia="宋体"/>
                <w:b w:val="0"/>
                <w:sz w:val="16"/>
              </w:rPr>
              <w:t>照明、温湿度、窗帘等设备控制功能正常，场景模式有效</w:t>
            </w:r>
          </w:p>
        </w:tc>
        <w:tc>
          <w:tcPr>
            <w:tcW w:w="1587" w:type="dxa"/>
            <w:vAlign w:val="center"/>
          </w:tcPr>
          <w:p w14:paraId="62A562D5">
            <w:pPr>
              <w:spacing w:after="0"/>
              <w:jc w:val="left"/>
            </w:pPr>
            <w:r>
              <w:rPr>
                <w:rFonts w:ascii="宋体" w:hAnsi="宋体" w:eastAsia="宋体"/>
                <w:b w:val="0"/>
                <w:sz w:val="16"/>
              </w:rPr>
              <w:t>□合格 □不合格</w:t>
            </w:r>
          </w:p>
        </w:tc>
      </w:tr>
      <w:tr w14:paraId="13A149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095C975B">
            <w:pPr>
              <w:spacing w:after="0"/>
              <w:jc w:val="left"/>
            </w:pPr>
            <w:r>
              <w:rPr>
                <w:rFonts w:ascii="宋体" w:hAnsi="宋体" w:eastAsia="宋体"/>
                <w:b w:val="0"/>
                <w:sz w:val="16"/>
              </w:rPr>
              <w:t>7</w:t>
            </w:r>
          </w:p>
        </w:tc>
        <w:tc>
          <w:tcPr>
            <w:tcW w:w="1814" w:type="dxa"/>
            <w:vAlign w:val="center"/>
          </w:tcPr>
          <w:p w14:paraId="4180272B">
            <w:pPr>
              <w:spacing w:after="0"/>
              <w:jc w:val="left"/>
            </w:pPr>
            <w:r>
              <w:rPr>
                <w:rFonts w:ascii="宋体" w:hAnsi="宋体" w:eastAsia="宋体"/>
                <w:b w:val="0"/>
                <w:sz w:val="16"/>
              </w:rPr>
              <w:t>平台接入与联动</w:t>
            </w:r>
          </w:p>
        </w:tc>
        <w:tc>
          <w:tcPr>
            <w:tcW w:w="4535" w:type="dxa"/>
            <w:vAlign w:val="center"/>
          </w:tcPr>
          <w:p w14:paraId="2741B04B">
            <w:pPr>
              <w:spacing w:after="0"/>
              <w:jc w:val="left"/>
            </w:pPr>
            <w:r>
              <w:rPr>
                <w:rFonts w:ascii="宋体" w:hAnsi="宋体" w:eastAsia="宋体"/>
                <w:b w:val="0"/>
                <w:sz w:val="16"/>
              </w:rPr>
              <w:t>设备接入平台，数据传输稳定，社区—居家联动响应正常</w:t>
            </w:r>
          </w:p>
        </w:tc>
        <w:tc>
          <w:tcPr>
            <w:tcW w:w="1587" w:type="dxa"/>
            <w:vAlign w:val="center"/>
          </w:tcPr>
          <w:p w14:paraId="541AE88F">
            <w:pPr>
              <w:spacing w:after="0"/>
              <w:jc w:val="left"/>
            </w:pPr>
            <w:r>
              <w:rPr>
                <w:rFonts w:ascii="宋体" w:hAnsi="宋体" w:eastAsia="宋体"/>
                <w:b w:val="0"/>
                <w:sz w:val="16"/>
              </w:rPr>
              <w:t>□合格 □不合格</w:t>
            </w:r>
          </w:p>
        </w:tc>
      </w:tr>
      <w:tr w14:paraId="1AE98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245D9E80">
            <w:pPr>
              <w:spacing w:after="0"/>
              <w:jc w:val="left"/>
            </w:pPr>
            <w:r>
              <w:rPr>
                <w:rFonts w:ascii="宋体" w:hAnsi="宋体" w:eastAsia="宋体"/>
                <w:b w:val="0"/>
                <w:sz w:val="16"/>
              </w:rPr>
              <w:t>8</w:t>
            </w:r>
          </w:p>
        </w:tc>
        <w:tc>
          <w:tcPr>
            <w:tcW w:w="1814" w:type="dxa"/>
            <w:vAlign w:val="center"/>
          </w:tcPr>
          <w:p w14:paraId="2E1D68F7">
            <w:pPr>
              <w:spacing w:after="0"/>
              <w:jc w:val="left"/>
            </w:pPr>
            <w:r>
              <w:rPr>
                <w:rFonts w:ascii="宋体" w:hAnsi="宋体" w:eastAsia="宋体"/>
                <w:b w:val="0"/>
                <w:sz w:val="16"/>
              </w:rPr>
              <w:t>施工质量</w:t>
            </w:r>
          </w:p>
        </w:tc>
        <w:tc>
          <w:tcPr>
            <w:tcW w:w="4535" w:type="dxa"/>
            <w:vAlign w:val="center"/>
          </w:tcPr>
          <w:p w14:paraId="25F535B2">
            <w:pPr>
              <w:spacing w:after="0"/>
              <w:jc w:val="left"/>
            </w:pPr>
            <w:r>
              <w:rPr>
                <w:rFonts w:ascii="宋体" w:hAnsi="宋体" w:eastAsia="宋体"/>
                <w:b w:val="0"/>
                <w:sz w:val="16"/>
              </w:rPr>
              <w:t>设备安装牢固、线缆敷设规范、场地清理复原完毕，隐蔽工程记录齐全</w:t>
            </w:r>
          </w:p>
        </w:tc>
        <w:tc>
          <w:tcPr>
            <w:tcW w:w="1587" w:type="dxa"/>
            <w:vAlign w:val="center"/>
          </w:tcPr>
          <w:p w14:paraId="6992CAB2">
            <w:pPr>
              <w:spacing w:after="0"/>
              <w:jc w:val="left"/>
            </w:pPr>
            <w:r>
              <w:rPr>
                <w:rFonts w:ascii="宋体" w:hAnsi="宋体" w:eastAsia="宋体"/>
                <w:b w:val="0"/>
                <w:sz w:val="16"/>
              </w:rPr>
              <w:t>□合格 □不合格</w:t>
            </w:r>
          </w:p>
        </w:tc>
      </w:tr>
      <w:tr w14:paraId="4FA02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4A5278EA">
            <w:pPr>
              <w:spacing w:after="0"/>
              <w:jc w:val="left"/>
            </w:pPr>
            <w:r>
              <w:rPr>
                <w:rFonts w:ascii="宋体" w:hAnsi="宋体" w:eastAsia="宋体"/>
                <w:b w:val="0"/>
                <w:sz w:val="16"/>
              </w:rPr>
              <w:t>9</w:t>
            </w:r>
          </w:p>
        </w:tc>
        <w:tc>
          <w:tcPr>
            <w:tcW w:w="1814" w:type="dxa"/>
            <w:vAlign w:val="center"/>
          </w:tcPr>
          <w:p w14:paraId="12CA2B9F">
            <w:pPr>
              <w:spacing w:after="0"/>
              <w:jc w:val="left"/>
            </w:pPr>
            <w:r>
              <w:rPr>
                <w:rFonts w:ascii="宋体" w:hAnsi="宋体" w:eastAsia="宋体"/>
                <w:b w:val="0"/>
                <w:sz w:val="16"/>
              </w:rPr>
              <w:t>使用培训</w:t>
            </w:r>
          </w:p>
        </w:tc>
        <w:tc>
          <w:tcPr>
            <w:tcW w:w="4535" w:type="dxa"/>
            <w:vAlign w:val="center"/>
          </w:tcPr>
          <w:p w14:paraId="1DAC7267">
            <w:pPr>
              <w:spacing w:after="0"/>
              <w:jc w:val="left"/>
            </w:pPr>
            <w:r>
              <w:rPr>
                <w:rFonts w:ascii="宋体" w:hAnsi="宋体" w:eastAsia="宋体"/>
                <w:b w:val="0"/>
                <w:sz w:val="16"/>
              </w:rPr>
              <w:t>已完成培训并留存记录，老年人及照护者能独立使用主要功能</w:t>
            </w:r>
          </w:p>
        </w:tc>
        <w:tc>
          <w:tcPr>
            <w:tcW w:w="1587" w:type="dxa"/>
            <w:vAlign w:val="center"/>
          </w:tcPr>
          <w:p w14:paraId="241AB093">
            <w:pPr>
              <w:spacing w:after="0"/>
              <w:jc w:val="left"/>
            </w:pPr>
            <w:r>
              <w:rPr>
                <w:rFonts w:ascii="宋体" w:hAnsi="宋体" w:eastAsia="宋体"/>
                <w:b w:val="0"/>
                <w:sz w:val="16"/>
              </w:rPr>
              <w:t>□合格 □不合格</w:t>
            </w:r>
          </w:p>
        </w:tc>
      </w:tr>
      <w:tr w14:paraId="2CBFB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80" w:type="dxa"/>
            <w:vAlign w:val="center"/>
          </w:tcPr>
          <w:p w14:paraId="2EC004A3">
            <w:pPr>
              <w:spacing w:after="0"/>
              <w:jc w:val="left"/>
            </w:pPr>
            <w:r>
              <w:rPr>
                <w:rFonts w:ascii="宋体" w:hAnsi="宋体" w:eastAsia="宋体"/>
                <w:b w:val="0"/>
                <w:sz w:val="16"/>
              </w:rPr>
              <w:t>10</w:t>
            </w:r>
          </w:p>
        </w:tc>
        <w:tc>
          <w:tcPr>
            <w:tcW w:w="1814" w:type="dxa"/>
            <w:vAlign w:val="center"/>
          </w:tcPr>
          <w:p w14:paraId="698AFA11">
            <w:pPr>
              <w:spacing w:after="0"/>
              <w:jc w:val="left"/>
            </w:pPr>
            <w:r>
              <w:rPr>
                <w:rFonts w:ascii="宋体" w:hAnsi="宋体" w:eastAsia="宋体"/>
                <w:b w:val="0"/>
                <w:sz w:val="16"/>
              </w:rPr>
              <w:t>资料移交</w:t>
            </w:r>
          </w:p>
        </w:tc>
        <w:tc>
          <w:tcPr>
            <w:tcW w:w="4535" w:type="dxa"/>
            <w:vAlign w:val="center"/>
          </w:tcPr>
          <w:p w14:paraId="084AAF45">
            <w:pPr>
              <w:spacing w:after="0"/>
              <w:jc w:val="left"/>
            </w:pPr>
            <w:r>
              <w:rPr>
                <w:rFonts w:ascii="宋体" w:hAnsi="宋体" w:eastAsia="宋体"/>
                <w:b w:val="0"/>
                <w:sz w:val="16"/>
              </w:rPr>
              <w:t>评估、设计、施工、调试、验收等资料及操作指南移交完毕</w:t>
            </w:r>
          </w:p>
        </w:tc>
        <w:tc>
          <w:tcPr>
            <w:tcW w:w="1587" w:type="dxa"/>
            <w:vAlign w:val="center"/>
          </w:tcPr>
          <w:p w14:paraId="7C3558CD">
            <w:pPr>
              <w:spacing w:after="0"/>
              <w:jc w:val="left"/>
            </w:pPr>
            <w:r>
              <w:rPr>
                <w:rFonts w:ascii="宋体" w:hAnsi="宋体" w:eastAsia="宋体"/>
                <w:b w:val="0"/>
                <w:sz w:val="16"/>
              </w:rPr>
              <w:t>□合格 □不合格</w:t>
            </w:r>
          </w:p>
        </w:tc>
      </w:tr>
    </w:tbl>
    <w:p w14:paraId="041D786C">
      <w:pPr>
        <w:pStyle w:val="24"/>
      </w:pPr>
    </w:p>
    <w:p w14:paraId="467367CE">
      <w:pPr>
        <w:pStyle w:val="24"/>
      </w:pPr>
      <w:r>
        <w:t>验收意见：</w:t>
      </w:r>
    </w:p>
    <w:p w14:paraId="33FD8C38">
      <w:pPr>
        <w:pStyle w:val="24"/>
      </w:pPr>
    </w:p>
    <w:p w14:paraId="59119EE6">
      <w:pPr>
        <w:pStyle w:val="24"/>
      </w:pPr>
      <w:r>
        <w:t>改造实施单位（签字）：_______________          日期：______年____月____日</w:t>
      </w:r>
    </w:p>
    <w:p w14:paraId="1CC21ED3">
      <w:pPr>
        <w:pStyle w:val="24"/>
      </w:pPr>
      <w:r>
        <w:t>项目委托方（签字）：_______________          日期：______年____月____日</w:t>
      </w:r>
    </w:p>
    <w:p w14:paraId="21C0CEB3">
      <w:pPr>
        <w:pStyle w:val="24"/>
      </w:pPr>
      <w:r>
        <w:t>老年人或相关第三方（签字）：_______________    日期：______年____月____日</w:t>
      </w:r>
    </w:p>
    <w:p w14:paraId="42F586F9">
      <w:r>
        <w:br w:type="page"/>
      </w:r>
    </w:p>
    <w:p w14:paraId="3689ECC8">
      <w:pPr>
        <w:pStyle w:val="90"/>
      </w:pPr>
      <w:bookmarkStart w:id="24" w:name="_Toc20743"/>
      <w:r>
        <w:t>参 考 文 献</w:t>
      </w:r>
      <w:bookmarkEnd w:id="24"/>
    </w:p>
    <w:p w14:paraId="65EDD859">
      <w:bookmarkStart w:id="25" w:name="_Toc30877"/>
      <w:bookmarkStart w:id="26" w:name="_Toc7719"/>
      <w:r>
        <w:t>[1]  GB/T 40443—2021  适用于老年人的家用电器 通用技术要求</w:t>
      </w:r>
      <w:bookmarkEnd w:id="25"/>
      <w:bookmarkEnd w:id="26"/>
    </w:p>
    <w:p w14:paraId="5B44523D">
      <w:bookmarkStart w:id="27" w:name="_Toc32491"/>
      <w:bookmarkStart w:id="28" w:name="_Toc2026"/>
      <w:r>
        <w:t>[2]  GB 50096  住宅设计规范</w:t>
      </w:r>
      <w:bookmarkEnd w:id="27"/>
      <w:bookmarkEnd w:id="28"/>
    </w:p>
    <w:p w14:paraId="0D2A8116">
      <w:bookmarkStart w:id="29" w:name="_Toc6698"/>
      <w:bookmarkStart w:id="30" w:name="_Toc13605"/>
      <w:r>
        <w:t>[3]  GB 50314  智能建筑设计标准</w:t>
      </w:r>
      <w:bookmarkEnd w:id="29"/>
      <w:bookmarkEnd w:id="30"/>
    </w:p>
    <w:p w14:paraId="76972162">
      <w:bookmarkStart w:id="31" w:name="_Toc27812"/>
      <w:bookmarkStart w:id="32" w:name="_Toc30486"/>
      <w:r>
        <w:t>[4]  GB 50763  无障碍设计规范</w:t>
      </w:r>
      <w:bookmarkEnd w:id="31"/>
      <w:bookmarkEnd w:id="32"/>
    </w:p>
    <w:p w14:paraId="15DBF929">
      <w:bookmarkStart w:id="33" w:name="_Toc15475"/>
      <w:bookmarkStart w:id="34" w:name="_Toc30936"/>
      <w:r>
        <w:t>[5]  GB 55019  建筑与市政工程无障碍通用规范</w:t>
      </w:r>
      <w:bookmarkEnd w:id="33"/>
      <w:bookmarkEnd w:id="34"/>
    </w:p>
    <w:p w14:paraId="1B91091B">
      <w:bookmarkStart w:id="35" w:name="_Toc3714"/>
      <w:bookmarkStart w:id="36" w:name="_Toc31877"/>
      <w:r>
        <w:t>[6]  JGJ 450  老年人照料设施建筑设计标准</w:t>
      </w:r>
      <w:bookmarkEnd w:id="35"/>
      <w:bookmarkEnd w:id="36"/>
    </w:p>
    <w:p w14:paraId="6D31A042">
      <w:bookmarkStart w:id="37" w:name="_Toc20050"/>
      <w:bookmarkStart w:id="38" w:name="_Toc30612"/>
      <w:r>
        <w:t>[7]  JGJ/T 484  养老服务智能化系统技术标准</w:t>
      </w:r>
      <w:bookmarkEnd w:id="37"/>
      <w:bookmarkEnd w:id="38"/>
    </w:p>
    <w:p w14:paraId="79E36A72">
      <w:bookmarkStart w:id="39" w:name="_Toc15771"/>
      <w:bookmarkStart w:id="40" w:name="_Toc20820"/>
      <w:r>
        <w:t>[8]  MZ/T 218—2024  老年人居家环境适老化改造通用要求</w:t>
      </w:r>
      <w:bookmarkEnd w:id="39"/>
      <w:bookmarkEnd w:id="40"/>
    </w:p>
    <w:p w14:paraId="47CF2E5D">
      <w:bookmarkStart w:id="41" w:name="_Toc12672"/>
      <w:bookmarkStart w:id="42" w:name="_Toc2999"/>
      <w:r>
        <w:t>[9]  GB/T 45272—2025  家居产品适老化设计指南</w:t>
      </w:r>
      <w:bookmarkEnd w:id="41"/>
      <w:bookmarkEnd w:id="42"/>
    </w:p>
    <w:p w14:paraId="52350ED7">
      <w:bookmarkStart w:id="43" w:name="_Toc19545"/>
      <w:bookmarkStart w:id="44" w:name="_Toc26306"/>
      <w:r>
        <w:t>[10]  QB/T 8090—2024  智慧养老家居产品通用技术要求</w:t>
      </w:r>
      <w:bookmarkEnd w:id="43"/>
      <w:bookmarkEnd w:id="44"/>
    </w:p>
    <w:p w14:paraId="2F45F300">
      <w:bookmarkStart w:id="45" w:name="_Toc20891"/>
      <w:bookmarkStart w:id="46" w:name="_Toc9987"/>
      <w:r>
        <w:t>[11]  MZ/T 242—2025  养老机构智能化应用与管理指南</w:t>
      </w:r>
      <w:bookmarkEnd w:id="45"/>
      <w:bookmarkEnd w:id="46"/>
    </w:p>
    <w:p w14:paraId="45A8D5E7">
      <w:bookmarkStart w:id="47" w:name="_Toc15746"/>
      <w:bookmarkStart w:id="48" w:name="_Toc30950"/>
      <w:r>
        <w:t>[12]  DB11/T 2306—2024  居家适老化改造服务规范</w:t>
      </w:r>
      <w:bookmarkEnd w:id="47"/>
      <w:bookmarkEnd w:id="48"/>
    </w:p>
    <w:p w14:paraId="39D27F08">
      <w:bookmarkStart w:id="49" w:name="_Toc29811"/>
      <w:bookmarkStart w:id="50" w:name="_Toc20994"/>
      <w:r>
        <w:t>[13]  国务院办公厅. 关于推进养老服务发展的意见：国办发〔2019〕5号</w:t>
      </w:r>
      <w:bookmarkEnd w:id="49"/>
      <w:bookmarkEnd w:id="50"/>
    </w:p>
    <w:p w14:paraId="4DD53499">
      <w:bookmarkStart w:id="51" w:name="_Toc27199"/>
      <w:bookmarkStart w:id="52" w:name="_Toc29358"/>
      <w:r>
        <w:t>[14]  国务院办公厅. 关于发展银发经济增进老年人福祉的意见：国办发〔2024〕1号</w:t>
      </w:r>
      <w:bookmarkEnd w:id="51"/>
      <w:bookmarkEnd w:id="52"/>
    </w:p>
    <w:p w14:paraId="11DC44EB">
      <w:bookmarkStart w:id="53" w:name="_Toc5576"/>
      <w:bookmarkStart w:id="54" w:name="_Toc18240"/>
      <w:r>
        <w:t>[15]  民政部等9部门. 关于加快实施老年人居家适老化改造工程的指导意见：民发〔2020〕86号</w:t>
      </w:r>
      <w:bookmarkEnd w:id="53"/>
      <w:bookmarkEnd w:id="54"/>
    </w:p>
    <w:p w14:paraId="1ACD924A">
      <w:bookmarkStart w:id="55" w:name="_Toc2624"/>
      <w:bookmarkStart w:id="56" w:name="_Toc16838"/>
      <w:r>
        <w:t>[16]  北京市人民代表大会常务委员会. 北京市居家养老服务条例</w:t>
      </w:r>
      <w:bookmarkEnd w:id="55"/>
      <w:bookmarkEnd w:id="56"/>
    </w:p>
    <w:p w14:paraId="51BCAF0E">
      <w:pPr>
        <w:pStyle w:val="133"/>
      </w:pPr>
      <w:r>
        <w:t>________________________________</w:t>
      </w:r>
    </w:p>
    <w:sectPr>
      <w:footerReference r:id="rId8" w:type="default"/>
      <w:footerReference r:id="rId9" w:type="even"/>
      <w:pgSz w:w="11906" w:h="16838"/>
      <w:pgMar w:top="567" w:right="1416" w:bottom="1134" w:left="1418" w:header="1418" w:footer="1134" w:gutter="0"/>
      <w:pgNumType w:fmt="decimal"/>
      <w:cols w:space="425" w:num="1"/>
      <w:formProt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ongti SC Blac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C02DB">
    <w:pPr>
      <w:pStyle w:val="86"/>
      <w:jc w:val="right"/>
    </w:pPr>
    <w:r>
      <w:fldChar w:fldCharType="begin"/>
    </w:r>
    <w:r>
      <w:instrText xml:space="preserve"> PAGE  \* MERGEFORMAT </w:instrText>
    </w:r>
    <w:r>
      <w:fldChar w:fldCharType="separate"/>
    </w:r>
    <w: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5F9AA">
    <w:pPr>
      <w:pStyle w:val="70"/>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01AD9">
                          <w:pPr>
                            <w:pStyle w:val="7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0001AD9">
                    <w:pPr>
                      <w:pStyle w:val="7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DBAB5">
    <w:pPr>
      <w:pStyle w:val="86"/>
      <w:jc w:val="right"/>
    </w:pPr>
    <w:r>
      <w:fldChar w:fldCharType="begin"/>
    </w:r>
    <w:r>
      <w:instrText xml:space="preserve"> PAGE  \* MERGEFORMAT </w:instrText>
    </w:r>
    <w:r>
      <w:fldChar w:fldCharType="separate"/>
    </w:r>
    <w:r>
      <w:t>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772FE">
    <w:pPr>
      <w:pStyle w:val="18"/>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98893">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24398893">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4E43B">
    <w:pPr>
      <w:pStyle w:val="86"/>
      <w:ind w:left="0" w:leftChars="0" w:firstLine="0" w:firstLineChars="0"/>
      <w:rPr>
        <w:rFonts w:hint="eastAsia" w:eastAsia="宋体"/>
        <w:lang w:val="en-US" w:eastAsia="zh-CN"/>
      </w:rPr>
    </w:pPr>
    <w:r>
      <w:rPr>
        <w:sz w:val="18"/>
      </w:rPr>
      <mc:AlternateContent>
        <mc:Choice Requires="wps">
          <w:drawing>
            <wp:anchor distT="0" distB="0" distL="114300" distR="114300" simplePos="0" relativeHeight="251669504" behindDoc="0" locked="0" layoutInCell="1" allowOverlap="1">
              <wp:simplePos x="0" y="0"/>
              <wp:positionH relativeFrom="margin">
                <wp:posOffset>0</wp:posOffset>
              </wp:positionH>
              <wp:positionV relativeFrom="paragraph">
                <wp:posOffset>0</wp:posOffset>
              </wp:positionV>
              <wp:extent cx="259715" cy="137795"/>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25971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E2C434">
                          <w:pPr>
                            <w:pStyle w:val="18"/>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0.85pt;width:20.45pt;mso-position-horizontal-relative:margin;z-index:251669504;mso-width-relative:page;mso-height-relative:page;" filled="f" stroked="f" coordsize="21600,21600" o:gfxdata="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PORPmnTAAAAAwEAAA8AAAAAAAAAAQAgAAAAIgAAAGRycy9kb3ducmV2&#10;LnhtbFBLAQIUABQAAAAIAIdO4kC/Fj3ZOgIAAGMEAAAOAAAAAAAAAAEAIAAAACIBAABkcnMvZTJv&#10;RG9jLnhtbFBLBQYAAAAABgAGAFkBAADOBQAAAAA=&#10;">
              <v:fill on="f" focussize="0,0"/>
              <v:stroke on="f" weight="0.5pt"/>
              <v:imagedata o:title=""/>
              <o:lock v:ext="edit" aspectratio="f"/>
              <v:textbox inset="0mm,0mm,0mm,0mm">
                <w:txbxContent>
                  <w:p w14:paraId="40E2C434">
                    <w:pPr>
                      <w:pStyle w:val="18"/>
                    </w:pPr>
                    <w:r>
                      <w:fldChar w:fldCharType="begin"/>
                    </w:r>
                    <w:r>
                      <w:instrText xml:space="preserve"> PAGE  \* MERGEFORMAT </w:instrText>
                    </w:r>
                    <w:r>
                      <w:fldChar w:fldCharType="separate"/>
                    </w:r>
                    <w:r>
                      <w:t>6</w:t>
                    </w:r>
                    <w:r>
                      <w:fldChar w:fldCharType="end"/>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inside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34E677">
                          <w:pPr>
                            <w:pStyle w:val="18"/>
                            <w:jc w:val="center"/>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4C34E677">
                    <w:pPr>
                      <w:pStyle w:val="18"/>
                      <w:jc w:val="center"/>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inside</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4CFC3F">
                          <w:pPr>
                            <w:pStyle w:val="8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224CFC3F">
                    <w:pPr>
                      <w:pStyle w:val="86"/>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AAFB5">
    <w:pPr>
      <w:pStyle w:val="71"/>
      <w:jc w:val="left"/>
      <w:rPr>
        <w:rFonts w:hAnsi="黑体"/>
      </w:rPr>
    </w:pPr>
    <w:r>
      <w:rPr>
        <w:rFonts w:hint="eastAsia" w:hAnsi="黑体"/>
      </w:rPr>
      <w:t>T/BAS XXX-202X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7CDB1">
    <w:pPr>
      <w:pStyle w:val="71"/>
      <w:ind w:firstLine="1050"/>
      <w:rPr>
        <w:rFonts w:hint="eastAsia" w:hAnsi="黑体" w:eastAsia="黑体"/>
        <w:lang w:eastAsia="zh-CN"/>
      </w:rPr>
    </w:pPr>
    <w:r>
      <w:rPr>
        <w:rFonts w:hint="eastAsia" w:hAnsi="黑体"/>
      </w:rPr>
      <w:t>T</w:t>
    </w:r>
    <w:r>
      <w:rPr>
        <w:rFonts w:hAnsi="黑体"/>
      </w:rPr>
      <w:t>/</w:t>
    </w:r>
    <w:r>
      <w:rPr>
        <w:rFonts w:hint="eastAsia" w:hAnsi="黑体"/>
      </w:rPr>
      <w:t>BAS</w:t>
    </w:r>
    <w:r>
      <w:rPr>
        <w:rFonts w:hAnsi="黑体"/>
      </w:rPr>
      <w:t xml:space="preserve"> </w:t>
    </w:r>
    <w:r>
      <w:rPr>
        <w:rFonts w:hint="eastAsia" w:hAnsi="黑体"/>
        <w:lang w:val="en-US" w:eastAsia="zh-CN"/>
      </w:rPr>
      <w:t>XXX</w:t>
    </w:r>
    <w:r>
      <w:rPr>
        <w:rFonts w:hAnsi="黑体"/>
      </w:rPr>
      <w:t>-20</w:t>
    </w:r>
    <w:r>
      <w:rPr>
        <w:rFonts w:hint="eastAsia" w:hAnsi="黑体"/>
      </w:rPr>
      <w:t>2</w:t>
    </w:r>
    <w:r>
      <w:rPr>
        <w:rFonts w:hint="eastAsia" w:hAnsi="黑体"/>
        <w:lang w:val="en-US" w:eastAsia="zh-CN"/>
      </w:rPr>
      <w:t>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952887"/>
    <w:multiLevelType w:val="multilevel"/>
    <w:tmpl w:val="0A952887"/>
    <w:lvl w:ilvl="0" w:tentative="0">
      <w:start w:val="1"/>
      <w:numFmt w:val="decimal"/>
      <w:pStyle w:val="83"/>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
    <w:nsid w:val="0F805D97"/>
    <w:multiLevelType w:val="multilevel"/>
    <w:tmpl w:val="0F805D97"/>
    <w:lvl w:ilvl="0" w:tentative="0">
      <w:start w:val="1"/>
      <w:numFmt w:val="none"/>
      <w:pStyle w:val="78"/>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49"/>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51"/>
      <w:suff w:val="nothing"/>
      <w:lvlText w:val="%1.%2.%3　"/>
      <w:lvlJc w:val="left"/>
      <w:pPr>
        <w:ind w:left="0" w:firstLine="0"/>
      </w:pPr>
      <w:rPr>
        <w:rFonts w:hint="eastAsia" w:ascii="黑体" w:hAnsi="Times New Roman" w:eastAsia="黑体"/>
        <w:b w:val="0"/>
        <w:i w:val="0"/>
        <w:sz w:val="21"/>
      </w:rPr>
    </w:lvl>
    <w:lvl w:ilvl="3" w:tentative="0">
      <w:start w:val="1"/>
      <w:numFmt w:val="decimal"/>
      <w:pStyle w:val="52"/>
      <w:suff w:val="nothing"/>
      <w:lvlText w:val="%1.%2.%3.%4　"/>
      <w:lvlJc w:val="left"/>
      <w:pPr>
        <w:ind w:left="0" w:firstLine="0"/>
      </w:pPr>
      <w:rPr>
        <w:rFonts w:hint="eastAsia" w:ascii="黑体" w:hAnsi="Times New Roman" w:eastAsia="黑体"/>
        <w:b w:val="0"/>
        <w:i w:val="0"/>
        <w:sz w:val="21"/>
      </w:rPr>
    </w:lvl>
    <w:lvl w:ilvl="4" w:tentative="0">
      <w:start w:val="1"/>
      <w:numFmt w:val="decimal"/>
      <w:pStyle w:val="53"/>
      <w:suff w:val="nothing"/>
      <w:lvlText w:val="%1.%2.%3.%4.%5　"/>
      <w:lvlJc w:val="left"/>
      <w:pPr>
        <w:ind w:left="0" w:firstLine="0"/>
      </w:pPr>
      <w:rPr>
        <w:rFonts w:hint="eastAsia" w:ascii="黑体" w:hAnsi="Times New Roman" w:eastAsia="黑体"/>
        <w:b w:val="0"/>
        <w:i w:val="0"/>
        <w:sz w:val="21"/>
      </w:rPr>
    </w:lvl>
    <w:lvl w:ilvl="5" w:tentative="0">
      <w:start w:val="1"/>
      <w:numFmt w:val="decimal"/>
      <w:pStyle w:val="54"/>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4B435DB"/>
    <w:multiLevelType w:val="multilevel"/>
    <w:tmpl w:val="24B435DB"/>
    <w:lvl w:ilvl="0" w:tentative="0">
      <w:start w:val="1"/>
      <w:numFmt w:val="lowerLetter"/>
      <w:pStyle w:val="126"/>
      <w:suff w:val="nothing"/>
      <w:lvlText w:val="%1   "/>
      <w:lvlJc w:val="left"/>
      <w:pPr>
        <w:ind w:left="544" w:hanging="181"/>
      </w:pPr>
      <w:rPr>
        <w:rFonts w:hint="eastAsia" w:ascii="宋体" w:hAns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4">
    <w:nsid w:val="29707437"/>
    <w:multiLevelType w:val="multilevel"/>
    <w:tmpl w:val="29707437"/>
    <w:lvl w:ilvl="0" w:tentative="0">
      <w:start w:val="1"/>
      <w:numFmt w:val="none"/>
      <w:pStyle w:val="82"/>
      <w:suff w:val="nothing"/>
      <w:lvlText w:val="%1注："/>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2A8F7113"/>
    <w:multiLevelType w:val="multilevel"/>
    <w:tmpl w:val="2A8F7113"/>
    <w:lvl w:ilvl="0" w:tentative="0">
      <w:start w:val="1"/>
      <w:numFmt w:val="upperLetter"/>
      <w:pStyle w:val="108"/>
      <w:suff w:val="space"/>
      <w:lvlText w:val="%1"/>
      <w:lvlJc w:val="left"/>
      <w:pPr>
        <w:ind w:left="623" w:hanging="425"/>
      </w:pPr>
      <w:rPr>
        <w:rFonts w:hint="eastAsia"/>
      </w:rPr>
    </w:lvl>
    <w:lvl w:ilvl="1" w:tentative="0">
      <w:start w:val="1"/>
      <w:numFmt w:val="decimal"/>
      <w:pStyle w:val="109"/>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6">
    <w:nsid w:val="2C5917C3"/>
    <w:multiLevelType w:val="multilevel"/>
    <w:tmpl w:val="2C5917C3"/>
    <w:lvl w:ilvl="0" w:tentative="0">
      <w:start w:val="1"/>
      <w:numFmt w:val="none"/>
      <w:pStyle w:val="73"/>
      <w:suff w:val="nothing"/>
      <w:lvlText w:val="%1——"/>
      <w:lvlJc w:val="left"/>
      <w:pPr>
        <w:ind w:left="833" w:hanging="408"/>
      </w:pPr>
      <w:rPr>
        <w:rFonts w:hint="eastAsia"/>
      </w:rPr>
    </w:lvl>
    <w:lvl w:ilvl="1" w:tentative="0">
      <w:start w:val="1"/>
      <w:numFmt w:val="bullet"/>
      <w:pStyle w:val="74"/>
      <w:lvlText w:val=""/>
      <w:lvlJc w:val="left"/>
      <w:pPr>
        <w:tabs>
          <w:tab w:val="left" w:pos="760"/>
        </w:tabs>
        <w:ind w:left="1264" w:hanging="413"/>
      </w:pPr>
      <w:rPr>
        <w:rFonts w:hint="default" w:ascii="Symbol" w:hAnsi="Symbol"/>
        <w:color w:val="auto"/>
      </w:rPr>
    </w:lvl>
    <w:lvl w:ilvl="2" w:tentative="0">
      <w:start w:val="1"/>
      <w:numFmt w:val="bullet"/>
      <w:pStyle w:val="80"/>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7">
    <w:nsid w:val="3D1575A3"/>
    <w:multiLevelType w:val="singleLevel"/>
    <w:tmpl w:val="3D1575A3"/>
    <w:lvl w:ilvl="0" w:tentative="0">
      <w:start w:val="1"/>
      <w:numFmt w:val="lowerLetter"/>
      <w:suff w:val="space"/>
      <w:lvlText w:val="%1)"/>
      <w:lvlJc w:val="left"/>
    </w:lvl>
  </w:abstractNum>
  <w:abstractNum w:abstractNumId="8">
    <w:nsid w:val="3D733618"/>
    <w:multiLevelType w:val="multilevel"/>
    <w:tmpl w:val="3D733618"/>
    <w:lvl w:ilvl="0" w:tentative="0">
      <w:start w:val="1"/>
      <w:numFmt w:val="decimal"/>
      <w:pStyle w:val="25"/>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9">
    <w:nsid w:val="520F62E9"/>
    <w:multiLevelType w:val="multilevel"/>
    <w:tmpl w:val="520F62E9"/>
    <w:lvl w:ilvl="0" w:tentative="0">
      <w:start w:val="1"/>
      <w:numFmt w:val="decimal"/>
      <w:pStyle w:val="132"/>
      <w:suff w:val="nothing"/>
      <w:lvlText w:val="图%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0">
    <w:nsid w:val="5E63562F"/>
    <w:multiLevelType w:val="multilevel"/>
    <w:tmpl w:val="5E63562F"/>
    <w:lvl w:ilvl="0" w:tentative="0">
      <w:start w:val="1"/>
      <w:numFmt w:val="decimal"/>
      <w:pStyle w:val="79"/>
      <w:suff w:val="nothing"/>
      <w:lvlText w:val="注%1："/>
      <w:lvlJc w:val="left"/>
      <w:pPr>
        <w:ind w:left="0" w:firstLine="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1">
    <w:nsid w:val="5EC626C9"/>
    <w:multiLevelType w:val="singleLevel"/>
    <w:tmpl w:val="5EC626C9"/>
    <w:lvl w:ilvl="0" w:tentative="0">
      <w:start w:val="1"/>
      <w:numFmt w:val="decimal"/>
      <w:pStyle w:val="89"/>
      <w:suff w:val="nothing"/>
      <w:lvlText w:val="[%1] "/>
      <w:lvlJc w:val="left"/>
      <w:pPr>
        <w:tabs>
          <w:tab w:val="left" w:pos="0"/>
        </w:tabs>
        <w:ind w:left="0" w:firstLine="420"/>
      </w:pPr>
      <w:rPr>
        <w:rFonts w:hint="default" w:ascii="宋体" w:hAnsi="宋体" w:eastAsia="宋体" w:cs="黑体"/>
      </w:rPr>
    </w:lvl>
  </w:abstractNum>
  <w:abstractNum w:abstractNumId="12">
    <w:nsid w:val="60B55DC2"/>
    <w:multiLevelType w:val="multilevel"/>
    <w:tmpl w:val="60B55DC2"/>
    <w:lvl w:ilvl="0" w:tentative="0">
      <w:start w:val="1"/>
      <w:numFmt w:val="upperLetter"/>
      <w:pStyle w:val="99"/>
      <w:lvlText w:val="%1"/>
      <w:lvlJc w:val="left"/>
      <w:pPr>
        <w:tabs>
          <w:tab w:val="left" w:pos="0"/>
        </w:tabs>
        <w:ind w:left="0" w:hanging="425"/>
      </w:pPr>
      <w:rPr>
        <w:rFonts w:hint="eastAsia"/>
      </w:rPr>
    </w:lvl>
    <w:lvl w:ilvl="1" w:tentative="0">
      <w:start w:val="1"/>
      <w:numFmt w:val="decimal"/>
      <w:pStyle w:val="100"/>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3">
    <w:nsid w:val="63404DBE"/>
    <w:multiLevelType w:val="multilevel"/>
    <w:tmpl w:val="63404DBE"/>
    <w:lvl w:ilvl="0" w:tentative="0">
      <w:start w:val="1"/>
      <w:numFmt w:val="none"/>
      <w:pStyle w:val="76"/>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4">
    <w:nsid w:val="63AF7EBF"/>
    <w:multiLevelType w:val="multilevel"/>
    <w:tmpl w:val="63AF7EBF"/>
    <w:lvl w:ilvl="0" w:tentative="0">
      <w:start w:val="1"/>
      <w:numFmt w:val="decimal"/>
      <w:pStyle w:val="130"/>
      <w:suff w:val="nothing"/>
      <w:lvlText w:val="表%1　"/>
      <w:lvlJc w:val="left"/>
      <w:pPr>
        <w:ind w:left="0" w:firstLine="0"/>
      </w:pPr>
      <w:rPr>
        <w:rFonts w:hint="eastAsia"/>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5">
    <w:nsid w:val="657D3FBC"/>
    <w:multiLevelType w:val="multilevel"/>
    <w:tmpl w:val="657D3FBC"/>
    <w:lvl w:ilvl="0" w:tentative="0">
      <w:start w:val="1"/>
      <w:numFmt w:val="upperLetter"/>
      <w:pStyle w:val="62"/>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63"/>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64"/>
      <w:suff w:val="nothing"/>
      <w:lvlText w:val="%1.%2.%3　"/>
      <w:lvlJc w:val="left"/>
      <w:pPr>
        <w:ind w:left="0" w:firstLine="0"/>
      </w:pPr>
      <w:rPr>
        <w:rFonts w:hint="eastAsia" w:ascii="黑体" w:hAnsi="Times New Roman" w:eastAsia="黑体"/>
        <w:b w:val="0"/>
        <w:i w:val="0"/>
        <w:sz w:val="21"/>
      </w:rPr>
    </w:lvl>
    <w:lvl w:ilvl="3" w:tentative="0">
      <w:start w:val="1"/>
      <w:numFmt w:val="decimal"/>
      <w:pStyle w:val="65"/>
      <w:suff w:val="nothing"/>
      <w:lvlText w:val="%1.%2.%3.%4　"/>
      <w:lvlJc w:val="left"/>
      <w:pPr>
        <w:ind w:left="0" w:firstLine="0"/>
      </w:pPr>
      <w:rPr>
        <w:rFonts w:hint="eastAsia" w:ascii="黑体" w:hAnsi="Times New Roman" w:eastAsia="黑体"/>
        <w:b w:val="0"/>
        <w:i w:val="0"/>
        <w:sz w:val="21"/>
      </w:rPr>
    </w:lvl>
    <w:lvl w:ilvl="4" w:tentative="0">
      <w:start w:val="1"/>
      <w:numFmt w:val="decimal"/>
      <w:pStyle w:val="66"/>
      <w:suff w:val="nothing"/>
      <w:lvlText w:val="%1.%2.%3.%4.%5　"/>
      <w:lvlJc w:val="left"/>
      <w:pPr>
        <w:ind w:left="0" w:firstLine="0"/>
      </w:pPr>
      <w:rPr>
        <w:rFonts w:hint="eastAsia" w:ascii="黑体" w:hAnsi="Times New Roman" w:eastAsia="黑体"/>
        <w:b w:val="0"/>
        <w:i w:val="0"/>
        <w:sz w:val="21"/>
      </w:rPr>
    </w:lvl>
    <w:lvl w:ilvl="5" w:tentative="0">
      <w:start w:val="1"/>
      <w:numFmt w:val="decimal"/>
      <w:pStyle w:val="67"/>
      <w:suff w:val="nothing"/>
      <w:lvlText w:val="%1.%2.%3.%4.%5.%6　"/>
      <w:lvlJc w:val="left"/>
      <w:pPr>
        <w:ind w:left="0" w:firstLine="0"/>
      </w:pPr>
      <w:rPr>
        <w:rFonts w:hint="eastAsia" w:ascii="黑体" w:hAnsi="Times New Roman" w:eastAsia="黑体"/>
        <w:b w:val="0"/>
        <w:i w:val="0"/>
        <w:sz w:val="21"/>
      </w:rPr>
    </w:lvl>
    <w:lvl w:ilvl="6" w:tentative="0">
      <w:start w:val="1"/>
      <w:numFmt w:val="decimal"/>
      <w:pStyle w:val="68"/>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6">
    <w:nsid w:val="65CD2EF4"/>
    <w:multiLevelType w:val="multilevel"/>
    <w:tmpl w:val="65CD2EF4"/>
    <w:lvl w:ilvl="0" w:tentative="0">
      <w:start w:val="1"/>
      <w:numFmt w:val="lowerLetter"/>
      <w:pStyle w:val="60"/>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pStyle w:val="59"/>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61"/>
      <w:suff w:val="space"/>
      <w:lvlText w:val="(%3)"/>
      <w:lvlJc w:val="left"/>
      <w:pPr>
        <w:ind w:left="567" w:firstLine="692"/>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17">
    <w:nsid w:val="6AB870ED"/>
    <w:multiLevelType w:val="multilevel"/>
    <w:tmpl w:val="6AB870ED"/>
    <w:lvl w:ilvl="0" w:tentative="0">
      <w:start w:val="1"/>
      <w:numFmt w:val="decimal"/>
      <w:pStyle w:val="81"/>
      <w:suff w:val="nothing"/>
      <w:lvlText w:val="示例%1："/>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8">
    <w:nsid w:val="6D6C07CD"/>
    <w:multiLevelType w:val="multilevel"/>
    <w:tmpl w:val="6D6C07CD"/>
    <w:lvl w:ilvl="0" w:tentative="0">
      <w:start w:val="1"/>
      <w:numFmt w:val="lowerLetter"/>
      <w:lvlText w:val="%1)"/>
      <w:lvlJc w:val="left"/>
      <w:pPr>
        <w:tabs>
          <w:tab w:val="left" w:pos="839"/>
        </w:tabs>
        <w:ind w:left="839" w:hanging="419"/>
      </w:pPr>
      <w:rPr>
        <w:rFonts w:hint="eastAsia" w:ascii="宋体" w:eastAsia="宋体"/>
        <w:b w:val="0"/>
        <w:i w:val="0"/>
        <w:sz w:val="21"/>
      </w:rPr>
    </w:lvl>
    <w:lvl w:ilvl="1" w:tentative="0">
      <w:start w:val="1"/>
      <w:numFmt w:val="decimal"/>
      <w:pStyle w:val="106"/>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num w:numId="1">
    <w:abstractNumId w:val="8"/>
  </w:num>
  <w:num w:numId="2">
    <w:abstractNumId w:val="2"/>
  </w:num>
  <w:num w:numId="3">
    <w:abstractNumId w:val="16"/>
  </w:num>
  <w:num w:numId="4">
    <w:abstractNumId w:val="15"/>
  </w:num>
  <w:num w:numId="5">
    <w:abstractNumId w:val="6"/>
  </w:num>
  <w:num w:numId="6">
    <w:abstractNumId w:val="13"/>
  </w:num>
  <w:num w:numId="7">
    <w:abstractNumId w:val="1"/>
  </w:num>
  <w:num w:numId="8">
    <w:abstractNumId w:val="10"/>
  </w:num>
  <w:num w:numId="9">
    <w:abstractNumId w:val="17"/>
  </w:num>
  <w:num w:numId="10">
    <w:abstractNumId w:val="4"/>
  </w:num>
  <w:num w:numId="11">
    <w:abstractNumId w:val="0"/>
  </w:num>
  <w:num w:numId="12">
    <w:abstractNumId w:val="11"/>
  </w:num>
  <w:num w:numId="13">
    <w:abstractNumId w:val="12"/>
  </w:num>
  <w:num w:numId="14">
    <w:abstractNumId w:val="18"/>
  </w:num>
  <w:num w:numId="15">
    <w:abstractNumId w:val="5"/>
  </w:num>
  <w:num w:numId="16">
    <w:abstractNumId w:val="3"/>
  </w:num>
  <w:num w:numId="17">
    <w:abstractNumId w:val="14"/>
  </w:num>
  <w:num w:numId="18">
    <w:abstractNumId w:val="9"/>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mirrorMargins w:val="1"/>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2OTMyNGMyN2EzYzcxNDNmMDdlYzA4ZmI3ZmEyMmYifQ=="/>
  </w:docVars>
  <w:rsids>
    <w:rsidRoot w:val="00035925"/>
    <w:rsid w:val="00000244"/>
    <w:rsid w:val="00000BB3"/>
    <w:rsid w:val="0000185F"/>
    <w:rsid w:val="00002116"/>
    <w:rsid w:val="00004B91"/>
    <w:rsid w:val="00004E32"/>
    <w:rsid w:val="0000586F"/>
    <w:rsid w:val="00006902"/>
    <w:rsid w:val="00013D86"/>
    <w:rsid w:val="00013E02"/>
    <w:rsid w:val="00021230"/>
    <w:rsid w:val="0002143C"/>
    <w:rsid w:val="00025A65"/>
    <w:rsid w:val="00026C31"/>
    <w:rsid w:val="00027280"/>
    <w:rsid w:val="000320A7"/>
    <w:rsid w:val="000325EA"/>
    <w:rsid w:val="00035925"/>
    <w:rsid w:val="00036C2C"/>
    <w:rsid w:val="00036FFE"/>
    <w:rsid w:val="00041184"/>
    <w:rsid w:val="00045A7C"/>
    <w:rsid w:val="00050F2A"/>
    <w:rsid w:val="00052F20"/>
    <w:rsid w:val="00055371"/>
    <w:rsid w:val="00056A24"/>
    <w:rsid w:val="00057CE5"/>
    <w:rsid w:val="000607A3"/>
    <w:rsid w:val="000657F7"/>
    <w:rsid w:val="00065DF4"/>
    <w:rsid w:val="00067CDF"/>
    <w:rsid w:val="00074FBE"/>
    <w:rsid w:val="0007762A"/>
    <w:rsid w:val="00081F6E"/>
    <w:rsid w:val="00083A09"/>
    <w:rsid w:val="0009005E"/>
    <w:rsid w:val="000918A9"/>
    <w:rsid w:val="00092001"/>
    <w:rsid w:val="00092618"/>
    <w:rsid w:val="00092857"/>
    <w:rsid w:val="00092BD8"/>
    <w:rsid w:val="00093B6E"/>
    <w:rsid w:val="00094B7B"/>
    <w:rsid w:val="000964C7"/>
    <w:rsid w:val="000979D9"/>
    <w:rsid w:val="000A20A9"/>
    <w:rsid w:val="000A48B1"/>
    <w:rsid w:val="000A74B6"/>
    <w:rsid w:val="000B2671"/>
    <w:rsid w:val="000B2F0E"/>
    <w:rsid w:val="000B3143"/>
    <w:rsid w:val="000B405D"/>
    <w:rsid w:val="000C1A52"/>
    <w:rsid w:val="000C2BE6"/>
    <w:rsid w:val="000C4FDD"/>
    <w:rsid w:val="000C66C4"/>
    <w:rsid w:val="000C6B05"/>
    <w:rsid w:val="000C6DD6"/>
    <w:rsid w:val="000C73D4"/>
    <w:rsid w:val="000D3D4C"/>
    <w:rsid w:val="000D4F51"/>
    <w:rsid w:val="000D718B"/>
    <w:rsid w:val="000E0C46"/>
    <w:rsid w:val="000E15EE"/>
    <w:rsid w:val="000F030C"/>
    <w:rsid w:val="000F129C"/>
    <w:rsid w:val="000F174F"/>
    <w:rsid w:val="000F43F8"/>
    <w:rsid w:val="00104E29"/>
    <w:rsid w:val="001056DE"/>
    <w:rsid w:val="001124C0"/>
    <w:rsid w:val="001162C0"/>
    <w:rsid w:val="00117A25"/>
    <w:rsid w:val="00121293"/>
    <w:rsid w:val="0013175F"/>
    <w:rsid w:val="0013364D"/>
    <w:rsid w:val="001343BB"/>
    <w:rsid w:val="00134C46"/>
    <w:rsid w:val="00135256"/>
    <w:rsid w:val="00135387"/>
    <w:rsid w:val="00145A3E"/>
    <w:rsid w:val="00145B0A"/>
    <w:rsid w:val="001512B4"/>
    <w:rsid w:val="00153A26"/>
    <w:rsid w:val="001620A5"/>
    <w:rsid w:val="00164352"/>
    <w:rsid w:val="00164E53"/>
    <w:rsid w:val="00165269"/>
    <w:rsid w:val="00165D35"/>
    <w:rsid w:val="0016699D"/>
    <w:rsid w:val="001670D9"/>
    <w:rsid w:val="001722E1"/>
    <w:rsid w:val="00173A06"/>
    <w:rsid w:val="00174DD2"/>
    <w:rsid w:val="00175159"/>
    <w:rsid w:val="00175AD7"/>
    <w:rsid w:val="00176208"/>
    <w:rsid w:val="00177196"/>
    <w:rsid w:val="0017780C"/>
    <w:rsid w:val="001813B2"/>
    <w:rsid w:val="0018211B"/>
    <w:rsid w:val="00183FE1"/>
    <w:rsid w:val="001840D3"/>
    <w:rsid w:val="00184782"/>
    <w:rsid w:val="00187A8A"/>
    <w:rsid w:val="001900F8"/>
    <w:rsid w:val="00191258"/>
    <w:rsid w:val="00192680"/>
    <w:rsid w:val="00193037"/>
    <w:rsid w:val="00193375"/>
    <w:rsid w:val="00193A2C"/>
    <w:rsid w:val="001A288E"/>
    <w:rsid w:val="001A3679"/>
    <w:rsid w:val="001A5EFC"/>
    <w:rsid w:val="001A7684"/>
    <w:rsid w:val="001B0C29"/>
    <w:rsid w:val="001B36ED"/>
    <w:rsid w:val="001B6DC2"/>
    <w:rsid w:val="001B754B"/>
    <w:rsid w:val="001B7BC5"/>
    <w:rsid w:val="001C149C"/>
    <w:rsid w:val="001C21AC"/>
    <w:rsid w:val="001C3689"/>
    <w:rsid w:val="001C47BA"/>
    <w:rsid w:val="001C59EA"/>
    <w:rsid w:val="001D3556"/>
    <w:rsid w:val="001D406C"/>
    <w:rsid w:val="001D41EE"/>
    <w:rsid w:val="001D4BEB"/>
    <w:rsid w:val="001D5EE7"/>
    <w:rsid w:val="001D6B6C"/>
    <w:rsid w:val="001D71E6"/>
    <w:rsid w:val="001E0380"/>
    <w:rsid w:val="001E0B1B"/>
    <w:rsid w:val="001E12EB"/>
    <w:rsid w:val="001E13B1"/>
    <w:rsid w:val="001E2153"/>
    <w:rsid w:val="001E4CF5"/>
    <w:rsid w:val="001F15B8"/>
    <w:rsid w:val="001F3A19"/>
    <w:rsid w:val="001F60CA"/>
    <w:rsid w:val="002009E4"/>
    <w:rsid w:val="00201053"/>
    <w:rsid w:val="0020251B"/>
    <w:rsid w:val="00202FA6"/>
    <w:rsid w:val="002073D3"/>
    <w:rsid w:val="002074DE"/>
    <w:rsid w:val="00210A81"/>
    <w:rsid w:val="00215535"/>
    <w:rsid w:val="00215D48"/>
    <w:rsid w:val="0021624B"/>
    <w:rsid w:val="0022185E"/>
    <w:rsid w:val="0022449B"/>
    <w:rsid w:val="00227F55"/>
    <w:rsid w:val="00227FED"/>
    <w:rsid w:val="0023030A"/>
    <w:rsid w:val="00230F08"/>
    <w:rsid w:val="00233F70"/>
    <w:rsid w:val="00234467"/>
    <w:rsid w:val="00235BE6"/>
    <w:rsid w:val="00235EBB"/>
    <w:rsid w:val="00235FA7"/>
    <w:rsid w:val="00237D8D"/>
    <w:rsid w:val="00241DA2"/>
    <w:rsid w:val="00247FEE"/>
    <w:rsid w:val="00250E7D"/>
    <w:rsid w:val="002523DB"/>
    <w:rsid w:val="002527DD"/>
    <w:rsid w:val="00252DAA"/>
    <w:rsid w:val="002565D5"/>
    <w:rsid w:val="002622C0"/>
    <w:rsid w:val="002703BA"/>
    <w:rsid w:val="002751CF"/>
    <w:rsid w:val="002778AE"/>
    <w:rsid w:val="0028269A"/>
    <w:rsid w:val="00283590"/>
    <w:rsid w:val="0028577E"/>
    <w:rsid w:val="0028656D"/>
    <w:rsid w:val="00286973"/>
    <w:rsid w:val="00286CB7"/>
    <w:rsid w:val="00287674"/>
    <w:rsid w:val="002913FC"/>
    <w:rsid w:val="002938A4"/>
    <w:rsid w:val="00294E70"/>
    <w:rsid w:val="002954B8"/>
    <w:rsid w:val="002967B2"/>
    <w:rsid w:val="002973F1"/>
    <w:rsid w:val="002A1924"/>
    <w:rsid w:val="002A4273"/>
    <w:rsid w:val="002A7420"/>
    <w:rsid w:val="002A7A7E"/>
    <w:rsid w:val="002B0F12"/>
    <w:rsid w:val="002B1308"/>
    <w:rsid w:val="002B4554"/>
    <w:rsid w:val="002B5B25"/>
    <w:rsid w:val="002B707C"/>
    <w:rsid w:val="002C5399"/>
    <w:rsid w:val="002C72D8"/>
    <w:rsid w:val="002D11FA"/>
    <w:rsid w:val="002D17BC"/>
    <w:rsid w:val="002D19A4"/>
    <w:rsid w:val="002D394B"/>
    <w:rsid w:val="002D3C39"/>
    <w:rsid w:val="002D40AD"/>
    <w:rsid w:val="002D6352"/>
    <w:rsid w:val="002E0DDF"/>
    <w:rsid w:val="002E2906"/>
    <w:rsid w:val="002E5635"/>
    <w:rsid w:val="002E64C3"/>
    <w:rsid w:val="002E6A2C"/>
    <w:rsid w:val="002E70FF"/>
    <w:rsid w:val="002F035E"/>
    <w:rsid w:val="002F0FE8"/>
    <w:rsid w:val="002F1B39"/>
    <w:rsid w:val="002F1D8C"/>
    <w:rsid w:val="002F21DA"/>
    <w:rsid w:val="002F2AC4"/>
    <w:rsid w:val="002F34B8"/>
    <w:rsid w:val="002F4849"/>
    <w:rsid w:val="00301F39"/>
    <w:rsid w:val="00302F51"/>
    <w:rsid w:val="00303D27"/>
    <w:rsid w:val="0030440D"/>
    <w:rsid w:val="00305BEE"/>
    <w:rsid w:val="00313962"/>
    <w:rsid w:val="003234E0"/>
    <w:rsid w:val="003243F0"/>
    <w:rsid w:val="00325926"/>
    <w:rsid w:val="00326A38"/>
    <w:rsid w:val="00326CD1"/>
    <w:rsid w:val="00327A8A"/>
    <w:rsid w:val="00327D22"/>
    <w:rsid w:val="0033217F"/>
    <w:rsid w:val="00332AE0"/>
    <w:rsid w:val="003339A3"/>
    <w:rsid w:val="00335B63"/>
    <w:rsid w:val="00336610"/>
    <w:rsid w:val="00341F5C"/>
    <w:rsid w:val="00343D23"/>
    <w:rsid w:val="00343F73"/>
    <w:rsid w:val="00345060"/>
    <w:rsid w:val="003451FB"/>
    <w:rsid w:val="00352629"/>
    <w:rsid w:val="0035323B"/>
    <w:rsid w:val="00353D19"/>
    <w:rsid w:val="0035785A"/>
    <w:rsid w:val="003609D2"/>
    <w:rsid w:val="0036254D"/>
    <w:rsid w:val="00363F22"/>
    <w:rsid w:val="00364940"/>
    <w:rsid w:val="00367CF1"/>
    <w:rsid w:val="00375564"/>
    <w:rsid w:val="00376489"/>
    <w:rsid w:val="00376932"/>
    <w:rsid w:val="00383191"/>
    <w:rsid w:val="00386DED"/>
    <w:rsid w:val="00386E6A"/>
    <w:rsid w:val="003912E7"/>
    <w:rsid w:val="00393947"/>
    <w:rsid w:val="00395141"/>
    <w:rsid w:val="003A0E27"/>
    <w:rsid w:val="003A2275"/>
    <w:rsid w:val="003A2C90"/>
    <w:rsid w:val="003A6A4F"/>
    <w:rsid w:val="003A7088"/>
    <w:rsid w:val="003B00DF"/>
    <w:rsid w:val="003B1275"/>
    <w:rsid w:val="003B1778"/>
    <w:rsid w:val="003B6C28"/>
    <w:rsid w:val="003C11CB"/>
    <w:rsid w:val="003C3017"/>
    <w:rsid w:val="003C6A77"/>
    <w:rsid w:val="003C75F3"/>
    <w:rsid w:val="003C78A3"/>
    <w:rsid w:val="003D36AB"/>
    <w:rsid w:val="003E0769"/>
    <w:rsid w:val="003E1867"/>
    <w:rsid w:val="003E26A7"/>
    <w:rsid w:val="003E5729"/>
    <w:rsid w:val="003E724E"/>
    <w:rsid w:val="003F1D40"/>
    <w:rsid w:val="003F22BB"/>
    <w:rsid w:val="003F2A5B"/>
    <w:rsid w:val="003F4EE0"/>
    <w:rsid w:val="003F5559"/>
    <w:rsid w:val="00400473"/>
    <w:rsid w:val="00402153"/>
    <w:rsid w:val="00402E26"/>
    <w:rsid w:val="00402FC1"/>
    <w:rsid w:val="0041548C"/>
    <w:rsid w:val="00417BF6"/>
    <w:rsid w:val="004200D9"/>
    <w:rsid w:val="00422EC9"/>
    <w:rsid w:val="0042493B"/>
    <w:rsid w:val="00425082"/>
    <w:rsid w:val="00426AC9"/>
    <w:rsid w:val="00431DEB"/>
    <w:rsid w:val="0044259D"/>
    <w:rsid w:val="004439D9"/>
    <w:rsid w:val="00446B29"/>
    <w:rsid w:val="004473C4"/>
    <w:rsid w:val="004524BE"/>
    <w:rsid w:val="00453AAE"/>
    <w:rsid w:val="00453F9A"/>
    <w:rsid w:val="00454CC3"/>
    <w:rsid w:val="00464903"/>
    <w:rsid w:val="00464D67"/>
    <w:rsid w:val="00471E91"/>
    <w:rsid w:val="00474079"/>
    <w:rsid w:val="00474675"/>
    <w:rsid w:val="0047470C"/>
    <w:rsid w:val="00484C88"/>
    <w:rsid w:val="004A203E"/>
    <w:rsid w:val="004A35F9"/>
    <w:rsid w:val="004A4662"/>
    <w:rsid w:val="004A4AEA"/>
    <w:rsid w:val="004A5851"/>
    <w:rsid w:val="004A59A9"/>
    <w:rsid w:val="004A5D7D"/>
    <w:rsid w:val="004A6F09"/>
    <w:rsid w:val="004A7E02"/>
    <w:rsid w:val="004B157A"/>
    <w:rsid w:val="004B24C1"/>
    <w:rsid w:val="004B3092"/>
    <w:rsid w:val="004B49B1"/>
    <w:rsid w:val="004B557C"/>
    <w:rsid w:val="004B6815"/>
    <w:rsid w:val="004C292F"/>
    <w:rsid w:val="004C657F"/>
    <w:rsid w:val="004D306F"/>
    <w:rsid w:val="004D4B02"/>
    <w:rsid w:val="004D4F76"/>
    <w:rsid w:val="004E357D"/>
    <w:rsid w:val="004E4B13"/>
    <w:rsid w:val="004E4B8C"/>
    <w:rsid w:val="004E5A47"/>
    <w:rsid w:val="004F57D0"/>
    <w:rsid w:val="004F7D2C"/>
    <w:rsid w:val="005036E2"/>
    <w:rsid w:val="00510280"/>
    <w:rsid w:val="00513D73"/>
    <w:rsid w:val="005148B3"/>
    <w:rsid w:val="00514A43"/>
    <w:rsid w:val="00515E9C"/>
    <w:rsid w:val="005174E5"/>
    <w:rsid w:val="00520898"/>
    <w:rsid w:val="00521629"/>
    <w:rsid w:val="00522393"/>
    <w:rsid w:val="00522620"/>
    <w:rsid w:val="00525656"/>
    <w:rsid w:val="00525BF3"/>
    <w:rsid w:val="00534C02"/>
    <w:rsid w:val="0054044C"/>
    <w:rsid w:val="0054264B"/>
    <w:rsid w:val="00543786"/>
    <w:rsid w:val="0054553D"/>
    <w:rsid w:val="00545A49"/>
    <w:rsid w:val="005463CC"/>
    <w:rsid w:val="00546D0D"/>
    <w:rsid w:val="0055153A"/>
    <w:rsid w:val="005533D7"/>
    <w:rsid w:val="00554B63"/>
    <w:rsid w:val="00562CF6"/>
    <w:rsid w:val="00564992"/>
    <w:rsid w:val="0056544B"/>
    <w:rsid w:val="00567177"/>
    <w:rsid w:val="005702D1"/>
    <w:rsid w:val="005703DE"/>
    <w:rsid w:val="005710BC"/>
    <w:rsid w:val="0057420E"/>
    <w:rsid w:val="005755F1"/>
    <w:rsid w:val="00576249"/>
    <w:rsid w:val="00581927"/>
    <w:rsid w:val="00582BBE"/>
    <w:rsid w:val="0058311A"/>
    <w:rsid w:val="0058464E"/>
    <w:rsid w:val="0058650E"/>
    <w:rsid w:val="00593B03"/>
    <w:rsid w:val="00593ED6"/>
    <w:rsid w:val="005A01CB"/>
    <w:rsid w:val="005A1955"/>
    <w:rsid w:val="005A19A9"/>
    <w:rsid w:val="005A1DEA"/>
    <w:rsid w:val="005A58FF"/>
    <w:rsid w:val="005A5EAF"/>
    <w:rsid w:val="005A6491"/>
    <w:rsid w:val="005A64C0"/>
    <w:rsid w:val="005B1985"/>
    <w:rsid w:val="005B35F9"/>
    <w:rsid w:val="005B3C11"/>
    <w:rsid w:val="005C1C28"/>
    <w:rsid w:val="005C414F"/>
    <w:rsid w:val="005C43D0"/>
    <w:rsid w:val="005C66CD"/>
    <w:rsid w:val="005C6DB5"/>
    <w:rsid w:val="005C7C12"/>
    <w:rsid w:val="005D3842"/>
    <w:rsid w:val="005E19E7"/>
    <w:rsid w:val="005E2392"/>
    <w:rsid w:val="005E3323"/>
    <w:rsid w:val="005F7927"/>
    <w:rsid w:val="00601622"/>
    <w:rsid w:val="0060789B"/>
    <w:rsid w:val="0061037E"/>
    <w:rsid w:val="00612FDC"/>
    <w:rsid w:val="00613FAA"/>
    <w:rsid w:val="00615887"/>
    <w:rsid w:val="00616C36"/>
    <w:rsid w:val="0061716C"/>
    <w:rsid w:val="006171AF"/>
    <w:rsid w:val="00617868"/>
    <w:rsid w:val="006243A1"/>
    <w:rsid w:val="00626005"/>
    <w:rsid w:val="00632E56"/>
    <w:rsid w:val="006337B9"/>
    <w:rsid w:val="00635CBA"/>
    <w:rsid w:val="00636EFC"/>
    <w:rsid w:val="0064338B"/>
    <w:rsid w:val="00646542"/>
    <w:rsid w:val="006504F4"/>
    <w:rsid w:val="0065366F"/>
    <w:rsid w:val="00654BC9"/>
    <w:rsid w:val="006552FD"/>
    <w:rsid w:val="00656F0B"/>
    <w:rsid w:val="00663393"/>
    <w:rsid w:val="00663733"/>
    <w:rsid w:val="00663AF3"/>
    <w:rsid w:val="00666B6C"/>
    <w:rsid w:val="00677B54"/>
    <w:rsid w:val="00682682"/>
    <w:rsid w:val="00682702"/>
    <w:rsid w:val="00683A1C"/>
    <w:rsid w:val="006845B2"/>
    <w:rsid w:val="0068684F"/>
    <w:rsid w:val="00692368"/>
    <w:rsid w:val="00695192"/>
    <w:rsid w:val="0069697B"/>
    <w:rsid w:val="006A2EBC"/>
    <w:rsid w:val="006A5EA0"/>
    <w:rsid w:val="006A783B"/>
    <w:rsid w:val="006A7B33"/>
    <w:rsid w:val="006B497F"/>
    <w:rsid w:val="006B4E13"/>
    <w:rsid w:val="006B75DD"/>
    <w:rsid w:val="006C047C"/>
    <w:rsid w:val="006C3D8B"/>
    <w:rsid w:val="006C67E0"/>
    <w:rsid w:val="006C759A"/>
    <w:rsid w:val="006C7ABA"/>
    <w:rsid w:val="006D0A13"/>
    <w:rsid w:val="006D0D60"/>
    <w:rsid w:val="006D1122"/>
    <w:rsid w:val="006D317E"/>
    <w:rsid w:val="006D3B1E"/>
    <w:rsid w:val="006D3C00"/>
    <w:rsid w:val="006E06AD"/>
    <w:rsid w:val="006E3675"/>
    <w:rsid w:val="006E41E7"/>
    <w:rsid w:val="006E4A7F"/>
    <w:rsid w:val="006F0967"/>
    <w:rsid w:val="006F2274"/>
    <w:rsid w:val="006F64A0"/>
    <w:rsid w:val="006F73B3"/>
    <w:rsid w:val="0070038F"/>
    <w:rsid w:val="007027B1"/>
    <w:rsid w:val="0070286C"/>
    <w:rsid w:val="00704DF6"/>
    <w:rsid w:val="0070641D"/>
    <w:rsid w:val="0070651C"/>
    <w:rsid w:val="007132A3"/>
    <w:rsid w:val="00716421"/>
    <w:rsid w:val="00716BB3"/>
    <w:rsid w:val="00721419"/>
    <w:rsid w:val="0072293C"/>
    <w:rsid w:val="0072340A"/>
    <w:rsid w:val="00724EFB"/>
    <w:rsid w:val="007251BB"/>
    <w:rsid w:val="00726575"/>
    <w:rsid w:val="00730310"/>
    <w:rsid w:val="00736DC6"/>
    <w:rsid w:val="00740A49"/>
    <w:rsid w:val="007419C3"/>
    <w:rsid w:val="00746559"/>
    <w:rsid w:val="007467A7"/>
    <w:rsid w:val="007469DD"/>
    <w:rsid w:val="0074741B"/>
    <w:rsid w:val="0074759E"/>
    <w:rsid w:val="007478EA"/>
    <w:rsid w:val="00747CD8"/>
    <w:rsid w:val="0075415C"/>
    <w:rsid w:val="00757027"/>
    <w:rsid w:val="00757097"/>
    <w:rsid w:val="007606CB"/>
    <w:rsid w:val="00761E8B"/>
    <w:rsid w:val="00763410"/>
    <w:rsid w:val="00763502"/>
    <w:rsid w:val="007666A0"/>
    <w:rsid w:val="00780DE2"/>
    <w:rsid w:val="00782F81"/>
    <w:rsid w:val="007855FF"/>
    <w:rsid w:val="007913AB"/>
    <w:rsid w:val="007914F7"/>
    <w:rsid w:val="007925F8"/>
    <w:rsid w:val="00793B8B"/>
    <w:rsid w:val="00795C73"/>
    <w:rsid w:val="00796853"/>
    <w:rsid w:val="007A1A2E"/>
    <w:rsid w:val="007A284D"/>
    <w:rsid w:val="007A4809"/>
    <w:rsid w:val="007B1625"/>
    <w:rsid w:val="007B2EEC"/>
    <w:rsid w:val="007B706E"/>
    <w:rsid w:val="007B71EB"/>
    <w:rsid w:val="007C0748"/>
    <w:rsid w:val="007C6205"/>
    <w:rsid w:val="007C686A"/>
    <w:rsid w:val="007C728E"/>
    <w:rsid w:val="007D0629"/>
    <w:rsid w:val="007D0BE0"/>
    <w:rsid w:val="007D11AA"/>
    <w:rsid w:val="007D204F"/>
    <w:rsid w:val="007D2C53"/>
    <w:rsid w:val="007D3354"/>
    <w:rsid w:val="007D3D60"/>
    <w:rsid w:val="007D62E4"/>
    <w:rsid w:val="007E0A59"/>
    <w:rsid w:val="007E1980"/>
    <w:rsid w:val="007E4B76"/>
    <w:rsid w:val="007E5043"/>
    <w:rsid w:val="007E5EA8"/>
    <w:rsid w:val="007F0104"/>
    <w:rsid w:val="007F0CF1"/>
    <w:rsid w:val="007F12A5"/>
    <w:rsid w:val="007F2D74"/>
    <w:rsid w:val="007F3FB7"/>
    <w:rsid w:val="007F4CF1"/>
    <w:rsid w:val="007F530D"/>
    <w:rsid w:val="007F6D16"/>
    <w:rsid w:val="007F758D"/>
    <w:rsid w:val="007F7D52"/>
    <w:rsid w:val="0080484A"/>
    <w:rsid w:val="00805589"/>
    <w:rsid w:val="008057A5"/>
    <w:rsid w:val="00805E2F"/>
    <w:rsid w:val="0080654C"/>
    <w:rsid w:val="008071C6"/>
    <w:rsid w:val="008106F3"/>
    <w:rsid w:val="00817A00"/>
    <w:rsid w:val="00820B95"/>
    <w:rsid w:val="00825891"/>
    <w:rsid w:val="00831631"/>
    <w:rsid w:val="0083228D"/>
    <w:rsid w:val="00833D07"/>
    <w:rsid w:val="00835DB3"/>
    <w:rsid w:val="0083617B"/>
    <w:rsid w:val="00836342"/>
    <w:rsid w:val="00836A2D"/>
    <w:rsid w:val="008371BD"/>
    <w:rsid w:val="00837274"/>
    <w:rsid w:val="00840EBF"/>
    <w:rsid w:val="008504A8"/>
    <w:rsid w:val="00851B58"/>
    <w:rsid w:val="00852353"/>
    <w:rsid w:val="0085282E"/>
    <w:rsid w:val="008529E3"/>
    <w:rsid w:val="00853BDF"/>
    <w:rsid w:val="00863982"/>
    <w:rsid w:val="0087198C"/>
    <w:rsid w:val="00872C1F"/>
    <w:rsid w:val="00873B42"/>
    <w:rsid w:val="00874924"/>
    <w:rsid w:val="00877CB0"/>
    <w:rsid w:val="008805AC"/>
    <w:rsid w:val="00880D1A"/>
    <w:rsid w:val="00882F13"/>
    <w:rsid w:val="00884468"/>
    <w:rsid w:val="008856D8"/>
    <w:rsid w:val="0089179A"/>
    <w:rsid w:val="00891D4C"/>
    <w:rsid w:val="00892E82"/>
    <w:rsid w:val="00892E8C"/>
    <w:rsid w:val="00893277"/>
    <w:rsid w:val="00895FA9"/>
    <w:rsid w:val="008A1035"/>
    <w:rsid w:val="008A6E08"/>
    <w:rsid w:val="008B6F93"/>
    <w:rsid w:val="008C0BE9"/>
    <w:rsid w:val="008C1B58"/>
    <w:rsid w:val="008C39AE"/>
    <w:rsid w:val="008C40DF"/>
    <w:rsid w:val="008C590D"/>
    <w:rsid w:val="008C73A8"/>
    <w:rsid w:val="008D447E"/>
    <w:rsid w:val="008D7566"/>
    <w:rsid w:val="008E031B"/>
    <w:rsid w:val="008E0560"/>
    <w:rsid w:val="008E2D8C"/>
    <w:rsid w:val="008E4150"/>
    <w:rsid w:val="008E48AF"/>
    <w:rsid w:val="008E7029"/>
    <w:rsid w:val="008E7EF6"/>
    <w:rsid w:val="008F1F98"/>
    <w:rsid w:val="008F2340"/>
    <w:rsid w:val="008F2790"/>
    <w:rsid w:val="008F35C7"/>
    <w:rsid w:val="008F6758"/>
    <w:rsid w:val="008F7673"/>
    <w:rsid w:val="009022CA"/>
    <w:rsid w:val="009040DD"/>
    <w:rsid w:val="00904C17"/>
    <w:rsid w:val="00905B47"/>
    <w:rsid w:val="0090690F"/>
    <w:rsid w:val="00910645"/>
    <w:rsid w:val="00911391"/>
    <w:rsid w:val="0091213E"/>
    <w:rsid w:val="0091331C"/>
    <w:rsid w:val="009137BD"/>
    <w:rsid w:val="0091503D"/>
    <w:rsid w:val="0092310D"/>
    <w:rsid w:val="0092412F"/>
    <w:rsid w:val="00924671"/>
    <w:rsid w:val="009279DE"/>
    <w:rsid w:val="00927AB9"/>
    <w:rsid w:val="00927B37"/>
    <w:rsid w:val="00930116"/>
    <w:rsid w:val="00930625"/>
    <w:rsid w:val="00941082"/>
    <w:rsid w:val="0094212C"/>
    <w:rsid w:val="00944853"/>
    <w:rsid w:val="0094609D"/>
    <w:rsid w:val="00953142"/>
    <w:rsid w:val="0095378C"/>
    <w:rsid w:val="00954689"/>
    <w:rsid w:val="0095472A"/>
    <w:rsid w:val="009560B8"/>
    <w:rsid w:val="0096085A"/>
    <w:rsid w:val="009617C9"/>
    <w:rsid w:val="00961C93"/>
    <w:rsid w:val="00962B4E"/>
    <w:rsid w:val="00965324"/>
    <w:rsid w:val="0097091E"/>
    <w:rsid w:val="00972046"/>
    <w:rsid w:val="009760D3"/>
    <w:rsid w:val="00977132"/>
    <w:rsid w:val="00981A4B"/>
    <w:rsid w:val="00982250"/>
    <w:rsid w:val="00982501"/>
    <w:rsid w:val="00983D33"/>
    <w:rsid w:val="00984358"/>
    <w:rsid w:val="0098533A"/>
    <w:rsid w:val="009877D3"/>
    <w:rsid w:val="00991275"/>
    <w:rsid w:val="00994E8F"/>
    <w:rsid w:val="009951DC"/>
    <w:rsid w:val="009959BB"/>
    <w:rsid w:val="00997158"/>
    <w:rsid w:val="009A0073"/>
    <w:rsid w:val="009A0827"/>
    <w:rsid w:val="009A2C45"/>
    <w:rsid w:val="009A394A"/>
    <w:rsid w:val="009A3A7C"/>
    <w:rsid w:val="009A5D33"/>
    <w:rsid w:val="009A7D84"/>
    <w:rsid w:val="009B2323"/>
    <w:rsid w:val="009B2ADB"/>
    <w:rsid w:val="009B5C73"/>
    <w:rsid w:val="009B603A"/>
    <w:rsid w:val="009B6601"/>
    <w:rsid w:val="009C2627"/>
    <w:rsid w:val="009C2D0E"/>
    <w:rsid w:val="009C3DAC"/>
    <w:rsid w:val="009C3F86"/>
    <w:rsid w:val="009C42E0"/>
    <w:rsid w:val="009C62DE"/>
    <w:rsid w:val="009D0AA0"/>
    <w:rsid w:val="009D3230"/>
    <w:rsid w:val="009D5362"/>
    <w:rsid w:val="009E1415"/>
    <w:rsid w:val="009E6116"/>
    <w:rsid w:val="009E7814"/>
    <w:rsid w:val="009E7E25"/>
    <w:rsid w:val="009F0717"/>
    <w:rsid w:val="00A02E43"/>
    <w:rsid w:val="00A048E7"/>
    <w:rsid w:val="00A05368"/>
    <w:rsid w:val="00A065F9"/>
    <w:rsid w:val="00A07011"/>
    <w:rsid w:val="00A07F34"/>
    <w:rsid w:val="00A13777"/>
    <w:rsid w:val="00A20D98"/>
    <w:rsid w:val="00A22154"/>
    <w:rsid w:val="00A239F2"/>
    <w:rsid w:val="00A24058"/>
    <w:rsid w:val="00A25C38"/>
    <w:rsid w:val="00A303BF"/>
    <w:rsid w:val="00A3182E"/>
    <w:rsid w:val="00A35824"/>
    <w:rsid w:val="00A36BBE"/>
    <w:rsid w:val="00A37C20"/>
    <w:rsid w:val="00A40D9E"/>
    <w:rsid w:val="00A41DF7"/>
    <w:rsid w:val="00A420B1"/>
    <w:rsid w:val="00A42910"/>
    <w:rsid w:val="00A42ECA"/>
    <w:rsid w:val="00A4307A"/>
    <w:rsid w:val="00A46391"/>
    <w:rsid w:val="00A46DEF"/>
    <w:rsid w:val="00A47EBB"/>
    <w:rsid w:val="00A51CDD"/>
    <w:rsid w:val="00A563F8"/>
    <w:rsid w:val="00A56BBA"/>
    <w:rsid w:val="00A662F6"/>
    <w:rsid w:val="00A6730D"/>
    <w:rsid w:val="00A71625"/>
    <w:rsid w:val="00A71B9B"/>
    <w:rsid w:val="00A73289"/>
    <w:rsid w:val="00A751C7"/>
    <w:rsid w:val="00A75CF6"/>
    <w:rsid w:val="00A80008"/>
    <w:rsid w:val="00A805A9"/>
    <w:rsid w:val="00A84CE5"/>
    <w:rsid w:val="00A87844"/>
    <w:rsid w:val="00A9227B"/>
    <w:rsid w:val="00A97A55"/>
    <w:rsid w:val="00AA038C"/>
    <w:rsid w:val="00AA6577"/>
    <w:rsid w:val="00AA7A09"/>
    <w:rsid w:val="00AB3B50"/>
    <w:rsid w:val="00AB7F80"/>
    <w:rsid w:val="00AC05B1"/>
    <w:rsid w:val="00AC450C"/>
    <w:rsid w:val="00AC698B"/>
    <w:rsid w:val="00AD340B"/>
    <w:rsid w:val="00AD356C"/>
    <w:rsid w:val="00AE2914"/>
    <w:rsid w:val="00AE6D15"/>
    <w:rsid w:val="00AE7023"/>
    <w:rsid w:val="00AE78AA"/>
    <w:rsid w:val="00AF0EF3"/>
    <w:rsid w:val="00AF112F"/>
    <w:rsid w:val="00AF1F49"/>
    <w:rsid w:val="00AF2D81"/>
    <w:rsid w:val="00AF55A7"/>
    <w:rsid w:val="00AF69FA"/>
    <w:rsid w:val="00B04182"/>
    <w:rsid w:val="00B05ECF"/>
    <w:rsid w:val="00B0798D"/>
    <w:rsid w:val="00B07AE3"/>
    <w:rsid w:val="00B11430"/>
    <w:rsid w:val="00B12A5D"/>
    <w:rsid w:val="00B242F4"/>
    <w:rsid w:val="00B2477A"/>
    <w:rsid w:val="00B24D1C"/>
    <w:rsid w:val="00B30072"/>
    <w:rsid w:val="00B30481"/>
    <w:rsid w:val="00B31248"/>
    <w:rsid w:val="00B325F4"/>
    <w:rsid w:val="00B3312F"/>
    <w:rsid w:val="00B353EB"/>
    <w:rsid w:val="00B4016F"/>
    <w:rsid w:val="00B407AC"/>
    <w:rsid w:val="00B439C4"/>
    <w:rsid w:val="00B44D9F"/>
    <w:rsid w:val="00B4535E"/>
    <w:rsid w:val="00B52A8C"/>
    <w:rsid w:val="00B54707"/>
    <w:rsid w:val="00B56155"/>
    <w:rsid w:val="00B56AD0"/>
    <w:rsid w:val="00B62F11"/>
    <w:rsid w:val="00B63042"/>
    <w:rsid w:val="00B636A8"/>
    <w:rsid w:val="00B64CEF"/>
    <w:rsid w:val="00B64EF8"/>
    <w:rsid w:val="00B665C6"/>
    <w:rsid w:val="00B72AD8"/>
    <w:rsid w:val="00B74441"/>
    <w:rsid w:val="00B758A5"/>
    <w:rsid w:val="00B805AF"/>
    <w:rsid w:val="00B82BD5"/>
    <w:rsid w:val="00B869EC"/>
    <w:rsid w:val="00B87031"/>
    <w:rsid w:val="00B91823"/>
    <w:rsid w:val="00B92383"/>
    <w:rsid w:val="00B9397A"/>
    <w:rsid w:val="00B9633D"/>
    <w:rsid w:val="00B967D5"/>
    <w:rsid w:val="00B969B7"/>
    <w:rsid w:val="00B96C56"/>
    <w:rsid w:val="00B97A41"/>
    <w:rsid w:val="00BA2D87"/>
    <w:rsid w:val="00BA2EBE"/>
    <w:rsid w:val="00BB0222"/>
    <w:rsid w:val="00BB0F28"/>
    <w:rsid w:val="00BB4147"/>
    <w:rsid w:val="00BB458A"/>
    <w:rsid w:val="00BB693F"/>
    <w:rsid w:val="00BB6C11"/>
    <w:rsid w:val="00BC282D"/>
    <w:rsid w:val="00BC5953"/>
    <w:rsid w:val="00BC7A0F"/>
    <w:rsid w:val="00BD00D3"/>
    <w:rsid w:val="00BD1659"/>
    <w:rsid w:val="00BD3AA9"/>
    <w:rsid w:val="00BD4A18"/>
    <w:rsid w:val="00BD4DA7"/>
    <w:rsid w:val="00BD6DB2"/>
    <w:rsid w:val="00BD73A1"/>
    <w:rsid w:val="00BE11CF"/>
    <w:rsid w:val="00BE21AB"/>
    <w:rsid w:val="00BE2F5A"/>
    <w:rsid w:val="00BE55CB"/>
    <w:rsid w:val="00BE5F3C"/>
    <w:rsid w:val="00BE7067"/>
    <w:rsid w:val="00BF3BB2"/>
    <w:rsid w:val="00BF617A"/>
    <w:rsid w:val="00C000E3"/>
    <w:rsid w:val="00C01187"/>
    <w:rsid w:val="00C0379D"/>
    <w:rsid w:val="00C03931"/>
    <w:rsid w:val="00C04661"/>
    <w:rsid w:val="00C05FE3"/>
    <w:rsid w:val="00C07097"/>
    <w:rsid w:val="00C11DA9"/>
    <w:rsid w:val="00C2136D"/>
    <w:rsid w:val="00C214EE"/>
    <w:rsid w:val="00C2314B"/>
    <w:rsid w:val="00C244A0"/>
    <w:rsid w:val="00C24971"/>
    <w:rsid w:val="00C25355"/>
    <w:rsid w:val="00C26BE5"/>
    <w:rsid w:val="00C26E4D"/>
    <w:rsid w:val="00C27909"/>
    <w:rsid w:val="00C27B03"/>
    <w:rsid w:val="00C30ED6"/>
    <w:rsid w:val="00C314E1"/>
    <w:rsid w:val="00C33631"/>
    <w:rsid w:val="00C34397"/>
    <w:rsid w:val="00C36B2E"/>
    <w:rsid w:val="00C40503"/>
    <w:rsid w:val="00C4095D"/>
    <w:rsid w:val="00C51CD1"/>
    <w:rsid w:val="00C524D8"/>
    <w:rsid w:val="00C5652A"/>
    <w:rsid w:val="00C57218"/>
    <w:rsid w:val="00C57A9C"/>
    <w:rsid w:val="00C601D2"/>
    <w:rsid w:val="00C648B1"/>
    <w:rsid w:val="00C65BCC"/>
    <w:rsid w:val="00C66970"/>
    <w:rsid w:val="00C71F4D"/>
    <w:rsid w:val="00C72639"/>
    <w:rsid w:val="00C73436"/>
    <w:rsid w:val="00C762AA"/>
    <w:rsid w:val="00C86545"/>
    <w:rsid w:val="00C8691C"/>
    <w:rsid w:val="00C86CB4"/>
    <w:rsid w:val="00C910C9"/>
    <w:rsid w:val="00C95480"/>
    <w:rsid w:val="00C96295"/>
    <w:rsid w:val="00C96364"/>
    <w:rsid w:val="00C9682B"/>
    <w:rsid w:val="00CA03DF"/>
    <w:rsid w:val="00CA168A"/>
    <w:rsid w:val="00CA2097"/>
    <w:rsid w:val="00CA357E"/>
    <w:rsid w:val="00CA44F9"/>
    <w:rsid w:val="00CA4A69"/>
    <w:rsid w:val="00CB6E7F"/>
    <w:rsid w:val="00CB722E"/>
    <w:rsid w:val="00CC0690"/>
    <w:rsid w:val="00CC3E0C"/>
    <w:rsid w:val="00CC4948"/>
    <w:rsid w:val="00CC58D3"/>
    <w:rsid w:val="00CC784D"/>
    <w:rsid w:val="00CF1E15"/>
    <w:rsid w:val="00D00A8D"/>
    <w:rsid w:val="00D00BC8"/>
    <w:rsid w:val="00D02DFC"/>
    <w:rsid w:val="00D03268"/>
    <w:rsid w:val="00D0337B"/>
    <w:rsid w:val="00D07777"/>
    <w:rsid w:val="00D079B2"/>
    <w:rsid w:val="00D114E9"/>
    <w:rsid w:val="00D14EBC"/>
    <w:rsid w:val="00D17CD8"/>
    <w:rsid w:val="00D2009A"/>
    <w:rsid w:val="00D234BD"/>
    <w:rsid w:val="00D2527C"/>
    <w:rsid w:val="00D25514"/>
    <w:rsid w:val="00D27B80"/>
    <w:rsid w:val="00D313B3"/>
    <w:rsid w:val="00D35B8E"/>
    <w:rsid w:val="00D36572"/>
    <w:rsid w:val="00D40F07"/>
    <w:rsid w:val="00D429C6"/>
    <w:rsid w:val="00D472BF"/>
    <w:rsid w:val="00D47748"/>
    <w:rsid w:val="00D5178F"/>
    <w:rsid w:val="00D518DF"/>
    <w:rsid w:val="00D54CC3"/>
    <w:rsid w:val="00D56732"/>
    <w:rsid w:val="00D6041A"/>
    <w:rsid w:val="00D61258"/>
    <w:rsid w:val="00D633EB"/>
    <w:rsid w:val="00D67C03"/>
    <w:rsid w:val="00D67DCF"/>
    <w:rsid w:val="00D736AC"/>
    <w:rsid w:val="00D747AA"/>
    <w:rsid w:val="00D75A7E"/>
    <w:rsid w:val="00D763E3"/>
    <w:rsid w:val="00D82FF7"/>
    <w:rsid w:val="00D8358C"/>
    <w:rsid w:val="00D84271"/>
    <w:rsid w:val="00D847FE"/>
    <w:rsid w:val="00D85352"/>
    <w:rsid w:val="00D86B9C"/>
    <w:rsid w:val="00D900CD"/>
    <w:rsid w:val="00D90A39"/>
    <w:rsid w:val="00D91156"/>
    <w:rsid w:val="00D91CEC"/>
    <w:rsid w:val="00D964EA"/>
    <w:rsid w:val="00D96583"/>
    <w:rsid w:val="00D966D0"/>
    <w:rsid w:val="00DA0C59"/>
    <w:rsid w:val="00DA38CB"/>
    <w:rsid w:val="00DA3991"/>
    <w:rsid w:val="00DA72A1"/>
    <w:rsid w:val="00DA7F95"/>
    <w:rsid w:val="00DB01F1"/>
    <w:rsid w:val="00DB3222"/>
    <w:rsid w:val="00DB7E6C"/>
    <w:rsid w:val="00DC4D95"/>
    <w:rsid w:val="00DC4F68"/>
    <w:rsid w:val="00DC64B0"/>
    <w:rsid w:val="00DC6B1E"/>
    <w:rsid w:val="00DD252A"/>
    <w:rsid w:val="00DD41E0"/>
    <w:rsid w:val="00DD5949"/>
    <w:rsid w:val="00DD5A29"/>
    <w:rsid w:val="00DD5D9D"/>
    <w:rsid w:val="00DE1F47"/>
    <w:rsid w:val="00DE35CB"/>
    <w:rsid w:val="00DE5E24"/>
    <w:rsid w:val="00DE6F4D"/>
    <w:rsid w:val="00DE76B7"/>
    <w:rsid w:val="00DF0EF0"/>
    <w:rsid w:val="00DF21E9"/>
    <w:rsid w:val="00DF22C7"/>
    <w:rsid w:val="00DF5588"/>
    <w:rsid w:val="00DF5CC9"/>
    <w:rsid w:val="00E005D3"/>
    <w:rsid w:val="00E00F14"/>
    <w:rsid w:val="00E01CB8"/>
    <w:rsid w:val="00E06386"/>
    <w:rsid w:val="00E075C5"/>
    <w:rsid w:val="00E1051A"/>
    <w:rsid w:val="00E111F3"/>
    <w:rsid w:val="00E11668"/>
    <w:rsid w:val="00E118E7"/>
    <w:rsid w:val="00E11E70"/>
    <w:rsid w:val="00E122B7"/>
    <w:rsid w:val="00E21433"/>
    <w:rsid w:val="00E21B55"/>
    <w:rsid w:val="00E221D3"/>
    <w:rsid w:val="00E24EB4"/>
    <w:rsid w:val="00E253A2"/>
    <w:rsid w:val="00E273EA"/>
    <w:rsid w:val="00E30635"/>
    <w:rsid w:val="00E31B99"/>
    <w:rsid w:val="00E320ED"/>
    <w:rsid w:val="00E33AFB"/>
    <w:rsid w:val="00E34218"/>
    <w:rsid w:val="00E3451F"/>
    <w:rsid w:val="00E4400C"/>
    <w:rsid w:val="00E4555B"/>
    <w:rsid w:val="00E46282"/>
    <w:rsid w:val="00E5216E"/>
    <w:rsid w:val="00E536F3"/>
    <w:rsid w:val="00E54067"/>
    <w:rsid w:val="00E5529C"/>
    <w:rsid w:val="00E657C6"/>
    <w:rsid w:val="00E75D40"/>
    <w:rsid w:val="00E81965"/>
    <w:rsid w:val="00E81A88"/>
    <w:rsid w:val="00E82344"/>
    <w:rsid w:val="00E84C82"/>
    <w:rsid w:val="00E84D64"/>
    <w:rsid w:val="00E87408"/>
    <w:rsid w:val="00E90F5D"/>
    <w:rsid w:val="00E914C4"/>
    <w:rsid w:val="00E92FBF"/>
    <w:rsid w:val="00E934F5"/>
    <w:rsid w:val="00E96961"/>
    <w:rsid w:val="00EA4D0F"/>
    <w:rsid w:val="00EA72EC"/>
    <w:rsid w:val="00EB11CB"/>
    <w:rsid w:val="00EB1C71"/>
    <w:rsid w:val="00EB275A"/>
    <w:rsid w:val="00EB57CA"/>
    <w:rsid w:val="00EB786A"/>
    <w:rsid w:val="00EC1578"/>
    <w:rsid w:val="00EC1BFC"/>
    <w:rsid w:val="00EC1C72"/>
    <w:rsid w:val="00EC3356"/>
    <w:rsid w:val="00EC3CC9"/>
    <w:rsid w:val="00EC49C1"/>
    <w:rsid w:val="00EC5D85"/>
    <w:rsid w:val="00EC680A"/>
    <w:rsid w:val="00ED511C"/>
    <w:rsid w:val="00ED7229"/>
    <w:rsid w:val="00EE10C6"/>
    <w:rsid w:val="00EE10CF"/>
    <w:rsid w:val="00EE25CB"/>
    <w:rsid w:val="00EE2BED"/>
    <w:rsid w:val="00EE374B"/>
    <w:rsid w:val="00EE4A87"/>
    <w:rsid w:val="00EE7359"/>
    <w:rsid w:val="00EE79EC"/>
    <w:rsid w:val="00EF2869"/>
    <w:rsid w:val="00EF3850"/>
    <w:rsid w:val="00EF6655"/>
    <w:rsid w:val="00F035A0"/>
    <w:rsid w:val="00F04063"/>
    <w:rsid w:val="00F05D60"/>
    <w:rsid w:val="00F06E42"/>
    <w:rsid w:val="00F07224"/>
    <w:rsid w:val="00F07FD3"/>
    <w:rsid w:val="00F11BB5"/>
    <w:rsid w:val="00F1296C"/>
    <w:rsid w:val="00F1417B"/>
    <w:rsid w:val="00F1712D"/>
    <w:rsid w:val="00F17A17"/>
    <w:rsid w:val="00F208A0"/>
    <w:rsid w:val="00F2115E"/>
    <w:rsid w:val="00F25865"/>
    <w:rsid w:val="00F27B3D"/>
    <w:rsid w:val="00F30ABD"/>
    <w:rsid w:val="00F312BB"/>
    <w:rsid w:val="00F34B99"/>
    <w:rsid w:val="00F3673E"/>
    <w:rsid w:val="00F40B02"/>
    <w:rsid w:val="00F41E81"/>
    <w:rsid w:val="00F45445"/>
    <w:rsid w:val="00F456F1"/>
    <w:rsid w:val="00F51720"/>
    <w:rsid w:val="00F51CF2"/>
    <w:rsid w:val="00F52DAB"/>
    <w:rsid w:val="00F543F0"/>
    <w:rsid w:val="00F55863"/>
    <w:rsid w:val="00F55E3E"/>
    <w:rsid w:val="00F57601"/>
    <w:rsid w:val="00F61E2B"/>
    <w:rsid w:val="00F620E3"/>
    <w:rsid w:val="00F73F99"/>
    <w:rsid w:val="00F75F80"/>
    <w:rsid w:val="00F81D29"/>
    <w:rsid w:val="00F8354B"/>
    <w:rsid w:val="00F90BE5"/>
    <w:rsid w:val="00F91C4D"/>
    <w:rsid w:val="00F92FD9"/>
    <w:rsid w:val="00F95EDF"/>
    <w:rsid w:val="00FA37B1"/>
    <w:rsid w:val="00FA3E0B"/>
    <w:rsid w:val="00FA40CA"/>
    <w:rsid w:val="00FA5E20"/>
    <w:rsid w:val="00FA5EF7"/>
    <w:rsid w:val="00FA6157"/>
    <w:rsid w:val="00FA6684"/>
    <w:rsid w:val="00FA731E"/>
    <w:rsid w:val="00FA7BD0"/>
    <w:rsid w:val="00FB1095"/>
    <w:rsid w:val="00FB1DCF"/>
    <w:rsid w:val="00FB2B38"/>
    <w:rsid w:val="00FB602F"/>
    <w:rsid w:val="00FB61CE"/>
    <w:rsid w:val="00FB7A07"/>
    <w:rsid w:val="00FC04CC"/>
    <w:rsid w:val="00FC1F65"/>
    <w:rsid w:val="00FC2066"/>
    <w:rsid w:val="00FC6358"/>
    <w:rsid w:val="00FD1381"/>
    <w:rsid w:val="00FD320D"/>
    <w:rsid w:val="00FD522E"/>
    <w:rsid w:val="00FD6CCA"/>
    <w:rsid w:val="00FE1B98"/>
    <w:rsid w:val="00FE23DE"/>
    <w:rsid w:val="00FE653E"/>
    <w:rsid w:val="00FF00F7"/>
    <w:rsid w:val="00FF1801"/>
    <w:rsid w:val="00FF330A"/>
    <w:rsid w:val="00FF4EB3"/>
    <w:rsid w:val="00FF6842"/>
    <w:rsid w:val="00FF7997"/>
    <w:rsid w:val="033F69A9"/>
    <w:rsid w:val="0462095B"/>
    <w:rsid w:val="06064044"/>
    <w:rsid w:val="09347B2D"/>
    <w:rsid w:val="0AE172C5"/>
    <w:rsid w:val="0B46254C"/>
    <w:rsid w:val="0EA4623E"/>
    <w:rsid w:val="0F753D32"/>
    <w:rsid w:val="0F9B0CB4"/>
    <w:rsid w:val="0FEB7DBB"/>
    <w:rsid w:val="1367270D"/>
    <w:rsid w:val="18613BEC"/>
    <w:rsid w:val="19504C97"/>
    <w:rsid w:val="1C744DCC"/>
    <w:rsid w:val="1D5B676D"/>
    <w:rsid w:val="1EF43673"/>
    <w:rsid w:val="1FEE3382"/>
    <w:rsid w:val="210C2DC4"/>
    <w:rsid w:val="22F15341"/>
    <w:rsid w:val="23203542"/>
    <w:rsid w:val="26604056"/>
    <w:rsid w:val="2BA4230B"/>
    <w:rsid w:val="2F5279B1"/>
    <w:rsid w:val="2FF7F050"/>
    <w:rsid w:val="30DB7A5E"/>
    <w:rsid w:val="32B23BF6"/>
    <w:rsid w:val="333C7B8F"/>
    <w:rsid w:val="351B18C5"/>
    <w:rsid w:val="37DEDA51"/>
    <w:rsid w:val="3BECBDE1"/>
    <w:rsid w:val="3E6E240E"/>
    <w:rsid w:val="43D23A86"/>
    <w:rsid w:val="447FE4D8"/>
    <w:rsid w:val="47304227"/>
    <w:rsid w:val="47FA7865"/>
    <w:rsid w:val="4AAD1396"/>
    <w:rsid w:val="4BB94346"/>
    <w:rsid w:val="4EE6087A"/>
    <w:rsid w:val="51F3479F"/>
    <w:rsid w:val="53BA53BF"/>
    <w:rsid w:val="53C36C84"/>
    <w:rsid w:val="541D3002"/>
    <w:rsid w:val="56E9366F"/>
    <w:rsid w:val="5C511FAC"/>
    <w:rsid w:val="5CBD2CAE"/>
    <w:rsid w:val="5D7FF710"/>
    <w:rsid w:val="5F130356"/>
    <w:rsid w:val="627A6A23"/>
    <w:rsid w:val="62B62907"/>
    <w:rsid w:val="633F7D7B"/>
    <w:rsid w:val="64BB5976"/>
    <w:rsid w:val="6D53CF38"/>
    <w:rsid w:val="6DE38292"/>
    <w:rsid w:val="6DF97DCD"/>
    <w:rsid w:val="6F0301A6"/>
    <w:rsid w:val="6FDF4D32"/>
    <w:rsid w:val="6FFBCA0E"/>
    <w:rsid w:val="6FFFCA1D"/>
    <w:rsid w:val="70474D64"/>
    <w:rsid w:val="71CC3287"/>
    <w:rsid w:val="722D4800"/>
    <w:rsid w:val="76DB5B60"/>
    <w:rsid w:val="792F25F3"/>
    <w:rsid w:val="7A5FEC13"/>
    <w:rsid w:val="7A7EB17C"/>
    <w:rsid w:val="7AE37006"/>
    <w:rsid w:val="7AFFC0AB"/>
    <w:rsid w:val="7DBFCDCC"/>
    <w:rsid w:val="7DF935B5"/>
    <w:rsid w:val="7DFAABC2"/>
    <w:rsid w:val="7E417D92"/>
    <w:rsid w:val="7EDD73F9"/>
    <w:rsid w:val="7FFEDEC1"/>
    <w:rsid w:val="7FFF3434"/>
    <w:rsid w:val="8FEB7C5C"/>
    <w:rsid w:val="AFFB137D"/>
    <w:rsid w:val="BDBE293E"/>
    <w:rsid w:val="BDFF894F"/>
    <w:rsid w:val="CD5BDCB0"/>
    <w:rsid w:val="DE2F0D90"/>
    <w:rsid w:val="DEF34486"/>
    <w:rsid w:val="E2FE4633"/>
    <w:rsid w:val="E779489F"/>
    <w:rsid w:val="EB7F3745"/>
    <w:rsid w:val="EE5B9EAD"/>
    <w:rsid w:val="EF6FCE5B"/>
    <w:rsid w:val="EF9B0240"/>
    <w:rsid w:val="EFF7496A"/>
    <w:rsid w:val="F25FE7F5"/>
    <w:rsid w:val="F3B7AB9D"/>
    <w:rsid w:val="F6EB17C5"/>
    <w:rsid w:val="F7FF0C3A"/>
    <w:rsid w:val="F83308BC"/>
    <w:rsid w:val="FB9F6C02"/>
    <w:rsid w:val="FBE2D01F"/>
    <w:rsid w:val="FDFFF2E5"/>
    <w:rsid w:val="FED9C201"/>
    <w:rsid w:val="FEDFA67A"/>
    <w:rsid w:val="FF9C9AB1"/>
    <w:rsid w:val="FFDF1155"/>
    <w:rsid w:val="FFEE3AD9"/>
    <w:rsid w:val="FFFABB5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qFormat="1" w:unhideWhenUsed="0" w:uiPriority="0" w:semiHidden="0" w:name="footnote text"/>
    <w:lsdException w:qFormat="1"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name="footnote reference"/>
    <w:lsdException w:qFormat="1" w:uiPriority="0" w:name="annotation reference"/>
    <w:lsdException w:uiPriority="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semiHidden="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4"/>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47"/>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autoRedefine/>
    <w:semiHidden/>
    <w:qFormat/>
    <w:uiPriority w:val="0"/>
    <w:pPr>
      <w:tabs>
        <w:tab w:val="right" w:leader="dot" w:pos="9241"/>
      </w:tabs>
      <w:ind w:firstLine="505" w:firstLineChars="500"/>
      <w:jc w:val="left"/>
    </w:pPr>
    <w:rPr>
      <w:rFonts w:ascii="宋体"/>
      <w:szCs w:val="21"/>
    </w:rPr>
  </w:style>
  <w:style w:type="paragraph" w:styleId="5">
    <w:name w:val="index 8"/>
    <w:basedOn w:val="1"/>
    <w:next w:val="1"/>
    <w:qFormat/>
    <w:uiPriority w:val="0"/>
    <w:pPr>
      <w:ind w:left="1680" w:hanging="210"/>
      <w:jc w:val="left"/>
    </w:pPr>
    <w:rPr>
      <w:rFonts w:ascii="Calibri" w:hAnsi="Calibri"/>
      <w:sz w:val="20"/>
      <w:szCs w:val="20"/>
    </w:rPr>
  </w:style>
  <w:style w:type="paragraph" w:styleId="6">
    <w:name w:val="caption"/>
    <w:basedOn w:val="1"/>
    <w:next w:val="1"/>
    <w:autoRedefine/>
    <w:qFormat/>
    <w:uiPriority w:val="0"/>
    <w:pPr>
      <w:spacing w:before="152" w:after="160"/>
    </w:pPr>
    <w:rPr>
      <w:rFonts w:ascii="Arial" w:hAnsi="Arial" w:eastAsia="黑体" w:cs="Arial"/>
      <w:sz w:val="20"/>
      <w:szCs w:val="20"/>
    </w:rPr>
  </w:style>
  <w:style w:type="paragraph" w:styleId="7">
    <w:name w:val="index 5"/>
    <w:basedOn w:val="1"/>
    <w:next w:val="1"/>
    <w:qFormat/>
    <w:uiPriority w:val="0"/>
    <w:pPr>
      <w:ind w:left="1050" w:hanging="210"/>
      <w:jc w:val="left"/>
    </w:pPr>
    <w:rPr>
      <w:rFonts w:ascii="Calibri" w:hAnsi="Calibri"/>
      <w:sz w:val="20"/>
      <w:szCs w:val="20"/>
    </w:rPr>
  </w:style>
  <w:style w:type="paragraph" w:styleId="8">
    <w:name w:val="Document Map"/>
    <w:basedOn w:val="1"/>
    <w:autoRedefine/>
    <w:semiHidden/>
    <w:qFormat/>
    <w:uiPriority w:val="0"/>
    <w:pPr>
      <w:shd w:val="clear" w:color="auto" w:fill="000080"/>
    </w:pPr>
  </w:style>
  <w:style w:type="paragraph" w:styleId="9">
    <w:name w:val="annotation text"/>
    <w:basedOn w:val="1"/>
    <w:link w:val="149"/>
    <w:autoRedefine/>
    <w:semiHidden/>
    <w:unhideWhenUsed/>
    <w:qFormat/>
    <w:uiPriority w:val="0"/>
    <w:pPr>
      <w:jc w:val="left"/>
    </w:pPr>
  </w:style>
  <w:style w:type="paragraph" w:styleId="10">
    <w:name w:val="index 6"/>
    <w:basedOn w:val="1"/>
    <w:next w:val="1"/>
    <w:autoRedefine/>
    <w:qFormat/>
    <w:uiPriority w:val="0"/>
    <w:pPr>
      <w:ind w:left="1260" w:hanging="210"/>
      <w:jc w:val="left"/>
    </w:pPr>
    <w:rPr>
      <w:rFonts w:ascii="Calibri" w:hAnsi="Calibri"/>
      <w:sz w:val="20"/>
      <w:szCs w:val="20"/>
    </w:rPr>
  </w:style>
  <w:style w:type="paragraph" w:styleId="11">
    <w:name w:val="index 4"/>
    <w:basedOn w:val="1"/>
    <w:next w:val="1"/>
    <w:autoRedefine/>
    <w:qFormat/>
    <w:uiPriority w:val="0"/>
    <w:pPr>
      <w:ind w:left="840" w:hanging="210"/>
      <w:jc w:val="left"/>
    </w:pPr>
    <w:rPr>
      <w:rFonts w:ascii="Calibri" w:hAnsi="Calibri"/>
      <w:sz w:val="20"/>
      <w:szCs w:val="20"/>
    </w:rPr>
  </w:style>
  <w:style w:type="paragraph" w:styleId="12">
    <w:name w:val="toc 5"/>
    <w:basedOn w:val="1"/>
    <w:next w:val="1"/>
    <w:semiHidden/>
    <w:qFormat/>
    <w:uiPriority w:val="0"/>
    <w:pPr>
      <w:tabs>
        <w:tab w:val="right" w:leader="dot" w:pos="9241"/>
      </w:tabs>
      <w:ind w:firstLine="300" w:firstLineChars="300"/>
      <w:jc w:val="left"/>
    </w:pPr>
    <w:rPr>
      <w:rFonts w:ascii="宋体"/>
      <w:szCs w:val="21"/>
    </w:rPr>
  </w:style>
  <w:style w:type="paragraph" w:styleId="13">
    <w:name w:val="toc 3"/>
    <w:basedOn w:val="1"/>
    <w:next w:val="1"/>
    <w:autoRedefine/>
    <w:qFormat/>
    <w:uiPriority w:val="39"/>
    <w:pPr>
      <w:tabs>
        <w:tab w:val="right" w:leader="dot" w:pos="9241"/>
      </w:tabs>
      <w:ind w:firstLine="102" w:firstLineChars="100"/>
      <w:jc w:val="left"/>
    </w:pPr>
    <w:rPr>
      <w:rFonts w:ascii="宋体"/>
      <w:szCs w:val="21"/>
    </w:rPr>
  </w:style>
  <w:style w:type="paragraph" w:styleId="14">
    <w:name w:val="toc 8"/>
    <w:basedOn w:val="1"/>
    <w:next w:val="1"/>
    <w:autoRedefine/>
    <w:semiHidden/>
    <w:qFormat/>
    <w:uiPriority w:val="0"/>
    <w:pPr>
      <w:tabs>
        <w:tab w:val="right" w:leader="dot" w:pos="9241"/>
      </w:tabs>
      <w:ind w:firstLine="607" w:firstLineChars="600"/>
      <w:jc w:val="left"/>
    </w:pPr>
    <w:rPr>
      <w:rFonts w:ascii="宋体"/>
      <w:szCs w:val="21"/>
    </w:rPr>
  </w:style>
  <w:style w:type="paragraph" w:styleId="15">
    <w:name w:val="index 3"/>
    <w:basedOn w:val="1"/>
    <w:next w:val="1"/>
    <w:qFormat/>
    <w:uiPriority w:val="0"/>
    <w:pPr>
      <w:ind w:left="630" w:hanging="210"/>
      <w:jc w:val="left"/>
    </w:pPr>
    <w:rPr>
      <w:rFonts w:ascii="Calibri" w:hAnsi="Calibri"/>
      <w:sz w:val="20"/>
      <w:szCs w:val="20"/>
    </w:rPr>
  </w:style>
  <w:style w:type="paragraph" w:styleId="16">
    <w:name w:val="endnote text"/>
    <w:basedOn w:val="1"/>
    <w:semiHidden/>
    <w:qFormat/>
    <w:uiPriority w:val="0"/>
    <w:pPr>
      <w:snapToGrid w:val="0"/>
      <w:jc w:val="left"/>
    </w:pPr>
  </w:style>
  <w:style w:type="paragraph" w:styleId="17">
    <w:name w:val="Balloon Text"/>
    <w:basedOn w:val="1"/>
    <w:link w:val="145"/>
    <w:qFormat/>
    <w:uiPriority w:val="0"/>
    <w:rPr>
      <w:sz w:val="18"/>
      <w:szCs w:val="18"/>
    </w:rPr>
  </w:style>
  <w:style w:type="paragraph" w:styleId="18">
    <w:name w:val="footer"/>
    <w:basedOn w:val="1"/>
    <w:qFormat/>
    <w:uiPriority w:val="0"/>
    <w:pPr>
      <w:snapToGrid w:val="0"/>
      <w:ind w:right="210" w:rightChars="100"/>
      <w:jc w:val="right"/>
    </w:pPr>
    <w:rPr>
      <w:sz w:val="18"/>
      <w:szCs w:val="18"/>
    </w:rPr>
  </w:style>
  <w:style w:type="paragraph" w:styleId="19">
    <w:name w:val="header"/>
    <w:basedOn w:val="1"/>
    <w:link w:val="151"/>
    <w:qFormat/>
    <w:uiPriority w:val="0"/>
    <w:pPr>
      <w:snapToGrid w:val="0"/>
      <w:jc w:val="left"/>
    </w:pPr>
    <w:rPr>
      <w:sz w:val="18"/>
      <w:szCs w:val="18"/>
    </w:rPr>
  </w:style>
  <w:style w:type="paragraph" w:styleId="20">
    <w:name w:val="toc 1"/>
    <w:basedOn w:val="1"/>
    <w:next w:val="1"/>
    <w:qFormat/>
    <w:uiPriority w:val="39"/>
    <w:pPr>
      <w:tabs>
        <w:tab w:val="right" w:leader="dot" w:pos="9241"/>
      </w:tabs>
      <w:spacing w:beforeLines="25" w:afterLines="25"/>
      <w:jc w:val="left"/>
    </w:pPr>
    <w:rPr>
      <w:rFonts w:ascii="宋体"/>
      <w:szCs w:val="21"/>
    </w:rPr>
  </w:style>
  <w:style w:type="paragraph" w:styleId="21">
    <w:name w:val="toc 4"/>
    <w:basedOn w:val="1"/>
    <w:next w:val="1"/>
    <w:semiHidden/>
    <w:qFormat/>
    <w:uiPriority w:val="0"/>
    <w:pPr>
      <w:tabs>
        <w:tab w:val="right" w:leader="dot" w:pos="9241"/>
      </w:tabs>
      <w:ind w:firstLine="198" w:firstLineChars="200"/>
      <w:jc w:val="left"/>
    </w:pPr>
    <w:rPr>
      <w:rFonts w:ascii="宋体"/>
      <w:szCs w:val="21"/>
    </w:rPr>
  </w:style>
  <w:style w:type="paragraph" w:styleId="22">
    <w:name w:val="index heading"/>
    <w:basedOn w:val="1"/>
    <w:next w:val="23"/>
    <w:qFormat/>
    <w:uiPriority w:val="0"/>
    <w:pPr>
      <w:spacing w:before="120" w:after="120"/>
      <w:jc w:val="center"/>
    </w:pPr>
    <w:rPr>
      <w:rFonts w:ascii="Calibri" w:hAnsi="Calibri"/>
      <w:b/>
      <w:bCs/>
      <w:iCs/>
      <w:szCs w:val="20"/>
    </w:rPr>
  </w:style>
  <w:style w:type="paragraph" w:styleId="23">
    <w:name w:val="index 1"/>
    <w:basedOn w:val="1"/>
    <w:next w:val="24"/>
    <w:qFormat/>
    <w:uiPriority w:val="0"/>
    <w:pPr>
      <w:tabs>
        <w:tab w:val="right" w:leader="dot" w:pos="9299"/>
      </w:tabs>
      <w:jc w:val="left"/>
    </w:pPr>
    <w:rPr>
      <w:rFonts w:ascii="宋体"/>
      <w:szCs w:val="21"/>
    </w:rPr>
  </w:style>
  <w:style w:type="paragraph" w:customStyle="1" w:styleId="24">
    <w:name w:val="段"/>
    <w:link w:val="69"/>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5">
    <w:name w:val="footnote text"/>
    <w:basedOn w:val="1"/>
    <w:qFormat/>
    <w:uiPriority w:val="0"/>
    <w:pPr>
      <w:numPr>
        <w:ilvl w:val="0"/>
        <w:numId w:val="1"/>
      </w:numPr>
      <w:snapToGrid w:val="0"/>
      <w:jc w:val="left"/>
    </w:pPr>
    <w:rPr>
      <w:rFonts w:ascii="宋体"/>
      <w:sz w:val="18"/>
      <w:szCs w:val="18"/>
    </w:rPr>
  </w:style>
  <w:style w:type="paragraph" w:styleId="26">
    <w:name w:val="toc 6"/>
    <w:basedOn w:val="1"/>
    <w:next w:val="1"/>
    <w:semiHidden/>
    <w:qFormat/>
    <w:uiPriority w:val="0"/>
    <w:pPr>
      <w:tabs>
        <w:tab w:val="right" w:leader="dot" w:pos="9241"/>
      </w:tabs>
      <w:ind w:firstLine="403" w:firstLineChars="400"/>
      <w:jc w:val="left"/>
    </w:pPr>
    <w:rPr>
      <w:rFonts w:ascii="宋体"/>
      <w:szCs w:val="21"/>
    </w:rPr>
  </w:style>
  <w:style w:type="paragraph" w:styleId="27">
    <w:name w:val="index 7"/>
    <w:basedOn w:val="1"/>
    <w:next w:val="1"/>
    <w:qFormat/>
    <w:uiPriority w:val="0"/>
    <w:pPr>
      <w:ind w:left="1470" w:hanging="210"/>
      <w:jc w:val="left"/>
    </w:pPr>
    <w:rPr>
      <w:rFonts w:ascii="Calibri" w:hAnsi="Calibri"/>
      <w:sz w:val="20"/>
      <w:szCs w:val="20"/>
    </w:rPr>
  </w:style>
  <w:style w:type="paragraph" w:styleId="28">
    <w:name w:val="index 9"/>
    <w:basedOn w:val="1"/>
    <w:next w:val="1"/>
    <w:qFormat/>
    <w:uiPriority w:val="0"/>
    <w:pPr>
      <w:ind w:left="1890" w:hanging="210"/>
      <w:jc w:val="left"/>
    </w:pPr>
    <w:rPr>
      <w:rFonts w:ascii="Calibri" w:hAnsi="Calibri"/>
      <w:sz w:val="20"/>
      <w:szCs w:val="20"/>
    </w:rPr>
  </w:style>
  <w:style w:type="paragraph" w:styleId="29">
    <w:name w:val="toc 2"/>
    <w:basedOn w:val="1"/>
    <w:next w:val="1"/>
    <w:qFormat/>
    <w:uiPriority w:val="39"/>
    <w:pPr>
      <w:tabs>
        <w:tab w:val="right" w:leader="dot" w:pos="9241"/>
      </w:tabs>
    </w:pPr>
    <w:rPr>
      <w:rFonts w:ascii="宋体"/>
      <w:szCs w:val="21"/>
    </w:rPr>
  </w:style>
  <w:style w:type="paragraph" w:styleId="30">
    <w:name w:val="toc 9"/>
    <w:basedOn w:val="1"/>
    <w:next w:val="1"/>
    <w:semiHidden/>
    <w:qFormat/>
    <w:uiPriority w:val="0"/>
    <w:pPr>
      <w:ind w:left="1470"/>
      <w:jc w:val="left"/>
    </w:pPr>
    <w:rPr>
      <w:sz w:val="20"/>
      <w:szCs w:val="20"/>
    </w:rPr>
  </w:style>
  <w:style w:type="paragraph" w:styleId="31">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32">
    <w:name w:val="index 2"/>
    <w:basedOn w:val="1"/>
    <w:next w:val="1"/>
    <w:qFormat/>
    <w:uiPriority w:val="0"/>
    <w:pPr>
      <w:ind w:left="420" w:hanging="210"/>
      <w:jc w:val="left"/>
    </w:pPr>
    <w:rPr>
      <w:rFonts w:ascii="Calibri" w:hAnsi="Calibri"/>
      <w:sz w:val="20"/>
      <w:szCs w:val="20"/>
    </w:rPr>
  </w:style>
  <w:style w:type="paragraph" w:styleId="33">
    <w:name w:val="annotation subject"/>
    <w:basedOn w:val="9"/>
    <w:next w:val="9"/>
    <w:link w:val="150"/>
    <w:semiHidden/>
    <w:unhideWhenUsed/>
    <w:qFormat/>
    <w:uiPriority w:val="0"/>
    <w:rPr>
      <w:b/>
      <w:bCs/>
    </w:rPr>
  </w:style>
  <w:style w:type="table" w:styleId="35">
    <w:name w:val="Table Grid"/>
    <w:basedOn w:val="3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7">
    <w:name w:val="endnote reference"/>
    <w:semiHidden/>
    <w:qFormat/>
    <w:uiPriority w:val="0"/>
    <w:rPr>
      <w:vertAlign w:val="superscript"/>
    </w:rPr>
  </w:style>
  <w:style w:type="character" w:styleId="38">
    <w:name w:val="page number"/>
    <w:qFormat/>
    <w:uiPriority w:val="0"/>
    <w:rPr>
      <w:rFonts w:ascii="Times New Roman" w:hAnsi="Times New Roman" w:eastAsia="宋体"/>
      <w:sz w:val="18"/>
    </w:rPr>
  </w:style>
  <w:style w:type="character" w:styleId="39">
    <w:name w:val="FollowedHyperlink"/>
    <w:qFormat/>
    <w:uiPriority w:val="0"/>
    <w:rPr>
      <w:color w:val="800080"/>
      <w:u w:val="single"/>
    </w:rPr>
  </w:style>
  <w:style w:type="character" w:styleId="40">
    <w:name w:val="Emphasis"/>
    <w:basedOn w:val="36"/>
    <w:qFormat/>
    <w:uiPriority w:val="20"/>
    <w:rPr>
      <w:i/>
      <w:iCs/>
    </w:rPr>
  </w:style>
  <w:style w:type="character" w:styleId="41">
    <w:name w:val="Hyperlink"/>
    <w:qFormat/>
    <w:uiPriority w:val="99"/>
    <w:rPr>
      <w:color w:val="0000FF"/>
      <w:spacing w:val="0"/>
      <w:w w:val="100"/>
      <w:szCs w:val="21"/>
      <w:u w:val="single"/>
    </w:rPr>
  </w:style>
  <w:style w:type="character" w:styleId="42">
    <w:name w:val="annotation reference"/>
    <w:basedOn w:val="36"/>
    <w:semiHidden/>
    <w:unhideWhenUsed/>
    <w:qFormat/>
    <w:uiPriority w:val="0"/>
    <w:rPr>
      <w:sz w:val="21"/>
      <w:szCs w:val="21"/>
    </w:rPr>
  </w:style>
  <w:style w:type="character" w:styleId="43">
    <w:name w:val="footnote reference"/>
    <w:semiHidden/>
    <w:qFormat/>
    <w:uiPriority w:val="0"/>
    <w:rPr>
      <w:vertAlign w:val="superscript"/>
    </w:rPr>
  </w:style>
  <w:style w:type="character" w:customStyle="1" w:styleId="44">
    <w:name w:val="标题 1 字符"/>
    <w:basedOn w:val="36"/>
    <w:link w:val="2"/>
    <w:qFormat/>
    <w:uiPriority w:val="0"/>
    <w:rPr>
      <w:b/>
      <w:bCs/>
      <w:kern w:val="44"/>
      <w:sz w:val="44"/>
      <w:szCs w:val="44"/>
    </w:rPr>
  </w:style>
  <w:style w:type="paragraph" w:customStyle="1" w:styleId="45">
    <w:name w:val="封面标准文稿类别"/>
    <w:basedOn w:val="46"/>
    <w:qFormat/>
    <w:uiPriority w:val="0"/>
    <w:pPr>
      <w:framePr w:wrap="around"/>
      <w:spacing w:after="160" w:line="240" w:lineRule="auto"/>
    </w:pPr>
    <w:rPr>
      <w:sz w:val="24"/>
    </w:rPr>
  </w:style>
  <w:style w:type="paragraph" w:customStyle="1" w:styleId="46">
    <w:name w:val="封面一致性程度标识"/>
    <w:basedOn w:val="47"/>
    <w:qFormat/>
    <w:uiPriority w:val="0"/>
    <w:pPr>
      <w:framePr w:wrap="around"/>
      <w:spacing w:before="440"/>
    </w:pPr>
    <w:rPr>
      <w:rFonts w:ascii="宋体" w:eastAsia="宋体"/>
    </w:rPr>
  </w:style>
  <w:style w:type="paragraph" w:customStyle="1" w:styleId="47">
    <w:name w:val="封面标准英文名称"/>
    <w:basedOn w:val="48"/>
    <w:qFormat/>
    <w:uiPriority w:val="0"/>
    <w:pPr>
      <w:framePr w:wrap="around"/>
      <w:spacing w:before="370" w:line="400" w:lineRule="exact"/>
    </w:pPr>
    <w:rPr>
      <w:rFonts w:ascii="Times New Roman"/>
      <w:sz w:val="28"/>
      <w:szCs w:val="28"/>
    </w:rPr>
  </w:style>
  <w:style w:type="paragraph" w:customStyle="1" w:styleId="48">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49">
    <w:name w:val="一级条标题"/>
    <w:next w:val="24"/>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50">
    <w:name w:val="章标题"/>
    <w:next w:val="24"/>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51">
    <w:name w:val="二级条标题"/>
    <w:basedOn w:val="49"/>
    <w:next w:val="24"/>
    <w:qFormat/>
    <w:uiPriority w:val="0"/>
    <w:pPr>
      <w:numPr>
        <w:ilvl w:val="2"/>
      </w:numPr>
      <w:spacing w:before="50" w:after="50"/>
      <w:outlineLvl w:val="3"/>
    </w:pPr>
  </w:style>
  <w:style w:type="paragraph" w:customStyle="1" w:styleId="52">
    <w:name w:val="三级条标题"/>
    <w:basedOn w:val="51"/>
    <w:next w:val="24"/>
    <w:qFormat/>
    <w:uiPriority w:val="0"/>
    <w:pPr>
      <w:numPr>
        <w:ilvl w:val="3"/>
      </w:numPr>
      <w:outlineLvl w:val="4"/>
    </w:pPr>
  </w:style>
  <w:style w:type="paragraph" w:customStyle="1" w:styleId="53">
    <w:name w:val="四级条标题"/>
    <w:basedOn w:val="52"/>
    <w:next w:val="24"/>
    <w:qFormat/>
    <w:uiPriority w:val="0"/>
    <w:pPr>
      <w:numPr>
        <w:ilvl w:val="4"/>
      </w:numPr>
      <w:outlineLvl w:val="5"/>
    </w:pPr>
  </w:style>
  <w:style w:type="paragraph" w:customStyle="1" w:styleId="54">
    <w:name w:val="五级条标题"/>
    <w:basedOn w:val="53"/>
    <w:next w:val="24"/>
    <w:qFormat/>
    <w:uiPriority w:val="0"/>
    <w:pPr>
      <w:numPr>
        <w:ilvl w:val="5"/>
      </w:numPr>
      <w:outlineLvl w:val="6"/>
    </w:pPr>
  </w:style>
  <w:style w:type="paragraph" w:customStyle="1" w:styleId="55">
    <w:name w:val="前言、引言标题"/>
    <w:next w:val="24"/>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56">
    <w:name w:val="二级无"/>
    <w:basedOn w:val="51"/>
    <w:qFormat/>
    <w:uiPriority w:val="0"/>
    <w:pPr>
      <w:spacing w:beforeLines="0" w:afterLines="0"/>
    </w:pPr>
    <w:rPr>
      <w:rFonts w:ascii="宋体" w:eastAsia="宋体"/>
    </w:rPr>
  </w:style>
  <w:style w:type="paragraph" w:customStyle="1" w:styleId="57">
    <w:name w:val="三级无"/>
    <w:basedOn w:val="52"/>
    <w:qFormat/>
    <w:uiPriority w:val="0"/>
    <w:pPr>
      <w:spacing w:beforeLines="0" w:afterLines="0"/>
    </w:pPr>
    <w:rPr>
      <w:rFonts w:ascii="宋体" w:eastAsia="宋体"/>
    </w:rPr>
  </w:style>
  <w:style w:type="paragraph" w:customStyle="1" w:styleId="58">
    <w:name w:val="一级无"/>
    <w:basedOn w:val="49"/>
    <w:qFormat/>
    <w:uiPriority w:val="0"/>
    <w:pPr>
      <w:spacing w:beforeLines="0" w:afterLines="0"/>
    </w:pPr>
    <w:rPr>
      <w:rFonts w:ascii="宋体" w:eastAsia="宋体"/>
    </w:rPr>
  </w:style>
  <w:style w:type="paragraph" w:customStyle="1" w:styleId="59">
    <w:name w:val="数字编号列项（二级）"/>
    <w:qFormat/>
    <w:uiPriority w:val="0"/>
    <w:pPr>
      <w:numPr>
        <w:ilvl w:val="1"/>
        <w:numId w:val="3"/>
      </w:numPr>
      <w:jc w:val="both"/>
    </w:pPr>
    <w:rPr>
      <w:rFonts w:ascii="宋体" w:hAnsi="Times New Roman" w:eastAsia="宋体" w:cs="Times New Roman"/>
      <w:sz w:val="21"/>
      <w:lang w:val="en-US" w:eastAsia="zh-CN" w:bidi="ar-SA"/>
    </w:rPr>
  </w:style>
  <w:style w:type="paragraph" w:customStyle="1" w:styleId="60">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61">
    <w:name w:val="编号列项（三级）"/>
    <w:qFormat/>
    <w:uiPriority w:val="0"/>
    <w:pPr>
      <w:numPr>
        <w:ilvl w:val="2"/>
        <w:numId w:val="3"/>
      </w:numPr>
      <w:tabs>
        <w:tab w:val="left" w:pos="0"/>
      </w:tabs>
    </w:pPr>
    <w:rPr>
      <w:rFonts w:ascii="宋体" w:hAnsi="Times New Roman" w:eastAsia="宋体" w:cs="Times New Roman"/>
      <w:sz w:val="21"/>
      <w:lang w:val="en-US" w:eastAsia="zh-CN" w:bidi="ar-SA"/>
    </w:rPr>
  </w:style>
  <w:style w:type="paragraph" w:customStyle="1" w:styleId="62">
    <w:name w:val="附录标识"/>
    <w:basedOn w:val="1"/>
    <w:next w:val="24"/>
    <w:qFormat/>
    <w:uiPriority w:val="0"/>
    <w:pPr>
      <w:keepNext/>
      <w:pageBreakBefore/>
      <w:widowControl/>
      <w:numPr>
        <w:ilvl w:val="0"/>
        <w:numId w:val="4"/>
      </w:numPr>
      <w:shd w:val="clear" w:color="FFFFFF" w:fill="FFFFFF"/>
      <w:tabs>
        <w:tab w:val="left" w:pos="360"/>
        <w:tab w:val="left" w:pos="6405"/>
      </w:tabs>
      <w:spacing w:before="640"/>
      <w:jc w:val="center"/>
      <w:outlineLvl w:val="0"/>
    </w:pPr>
    <w:rPr>
      <w:rFonts w:ascii="Songti SC Black" w:hAnsi="Songti SC Black" w:eastAsia="Songti SC Black"/>
      <w:kern w:val="0"/>
      <w:szCs w:val="20"/>
    </w:rPr>
  </w:style>
  <w:style w:type="paragraph" w:customStyle="1" w:styleId="63">
    <w:name w:val="附录章标题"/>
    <w:next w:val="24"/>
    <w:qFormat/>
    <w:uiPriority w:val="0"/>
    <w:pPr>
      <w:numPr>
        <w:ilvl w:val="1"/>
        <w:numId w:val="4"/>
      </w:numPr>
      <w:tabs>
        <w:tab w:val="left" w:pos="360"/>
      </w:tabs>
      <w:wordWrap w:val="0"/>
      <w:overflowPunct w:val="0"/>
      <w:autoSpaceDE w:val="0"/>
      <w:spacing w:beforeLines="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64">
    <w:name w:val="附录一级条标题"/>
    <w:basedOn w:val="63"/>
    <w:next w:val="24"/>
    <w:qFormat/>
    <w:uiPriority w:val="0"/>
    <w:pPr>
      <w:numPr>
        <w:ilvl w:val="2"/>
      </w:numPr>
      <w:autoSpaceDN w:val="0"/>
      <w:spacing w:beforeLines="50" w:afterLines="50"/>
      <w:outlineLvl w:val="2"/>
    </w:pPr>
  </w:style>
  <w:style w:type="paragraph" w:customStyle="1" w:styleId="65">
    <w:name w:val="附录二级条标题"/>
    <w:basedOn w:val="1"/>
    <w:next w:val="24"/>
    <w:qFormat/>
    <w:uiPriority w:val="0"/>
    <w:pPr>
      <w:widowControl/>
      <w:numPr>
        <w:ilvl w:val="3"/>
        <w:numId w:val="4"/>
      </w:numPr>
      <w:tabs>
        <w:tab w:val="left"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66">
    <w:name w:val="附录三级条标题"/>
    <w:basedOn w:val="65"/>
    <w:next w:val="24"/>
    <w:qFormat/>
    <w:uiPriority w:val="0"/>
    <w:pPr>
      <w:numPr>
        <w:ilvl w:val="4"/>
      </w:numPr>
      <w:outlineLvl w:val="4"/>
    </w:pPr>
  </w:style>
  <w:style w:type="paragraph" w:customStyle="1" w:styleId="67">
    <w:name w:val="附录四级条标题"/>
    <w:basedOn w:val="66"/>
    <w:next w:val="24"/>
    <w:qFormat/>
    <w:uiPriority w:val="0"/>
    <w:pPr>
      <w:numPr>
        <w:ilvl w:val="5"/>
      </w:numPr>
      <w:outlineLvl w:val="5"/>
    </w:pPr>
  </w:style>
  <w:style w:type="paragraph" w:customStyle="1" w:styleId="68">
    <w:name w:val="附录五级条标题"/>
    <w:basedOn w:val="67"/>
    <w:next w:val="24"/>
    <w:qFormat/>
    <w:uiPriority w:val="0"/>
    <w:pPr>
      <w:numPr>
        <w:ilvl w:val="6"/>
      </w:numPr>
      <w:outlineLvl w:val="6"/>
    </w:pPr>
  </w:style>
  <w:style w:type="character" w:customStyle="1" w:styleId="69">
    <w:name w:val="段 Char"/>
    <w:link w:val="24"/>
    <w:qFormat/>
    <w:uiPriority w:val="0"/>
    <w:rPr>
      <w:rFonts w:ascii="宋体"/>
      <w:sz w:val="21"/>
      <w:lang w:val="en-US" w:eastAsia="zh-CN" w:bidi="ar-SA"/>
    </w:rPr>
  </w:style>
  <w:style w:type="paragraph" w:customStyle="1" w:styleId="70">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71">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72">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73">
    <w:name w:val="列项——（一级）"/>
    <w:autoRedefine/>
    <w:qFormat/>
    <w:uiPriority w:val="0"/>
    <w:pPr>
      <w:widowControl w:val="0"/>
      <w:numPr>
        <w:ilvl w:val="0"/>
        <w:numId w:val="5"/>
      </w:numPr>
      <w:jc w:val="both"/>
    </w:pPr>
    <w:rPr>
      <w:rFonts w:ascii="宋体" w:hAnsi="Times New Roman" w:eastAsia="宋体" w:cs="Times New Roman"/>
      <w:sz w:val="21"/>
      <w:lang w:val="en-US" w:eastAsia="zh-CN" w:bidi="ar-SA"/>
    </w:rPr>
  </w:style>
  <w:style w:type="paragraph" w:customStyle="1" w:styleId="74">
    <w:name w:val="列项●（二级）"/>
    <w:qFormat/>
    <w:uiPriority w:val="0"/>
    <w:pPr>
      <w:numPr>
        <w:ilvl w:val="1"/>
        <w:numId w:val="5"/>
      </w:numPr>
      <w:tabs>
        <w:tab w:val="left" w:pos="840"/>
      </w:tabs>
      <w:jc w:val="both"/>
    </w:pPr>
    <w:rPr>
      <w:rFonts w:ascii="宋体" w:hAnsi="Times New Roman" w:eastAsia="宋体" w:cs="Times New Roman"/>
      <w:sz w:val="21"/>
      <w:lang w:val="en-US" w:eastAsia="zh-CN" w:bidi="ar-SA"/>
    </w:rPr>
  </w:style>
  <w:style w:type="paragraph" w:customStyle="1" w:styleId="75">
    <w:name w:val="目次、标准名称标题"/>
    <w:basedOn w:val="1"/>
    <w:next w:val="24"/>
    <w:link w:val="143"/>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76">
    <w:name w:val="示例"/>
    <w:next w:val="77"/>
    <w:qFormat/>
    <w:uiPriority w:val="0"/>
    <w:pPr>
      <w:widowControl w:val="0"/>
      <w:numPr>
        <w:ilvl w:val="0"/>
        <w:numId w:val="6"/>
      </w:numPr>
      <w:jc w:val="both"/>
    </w:pPr>
    <w:rPr>
      <w:rFonts w:ascii="宋体" w:hAnsi="Times New Roman" w:eastAsia="宋体" w:cs="Times New Roman"/>
      <w:sz w:val="18"/>
      <w:szCs w:val="18"/>
      <w:lang w:val="en-US" w:eastAsia="zh-CN" w:bidi="ar-SA"/>
    </w:rPr>
  </w:style>
  <w:style w:type="paragraph" w:customStyle="1" w:styleId="77">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78">
    <w:name w:val="注："/>
    <w:next w:val="24"/>
    <w:qFormat/>
    <w:uiPriority w:val="0"/>
    <w:pPr>
      <w:widowControl w:val="0"/>
      <w:numPr>
        <w:ilvl w:val="0"/>
        <w:numId w:val="7"/>
      </w:numPr>
      <w:autoSpaceDE w:val="0"/>
      <w:autoSpaceDN w:val="0"/>
      <w:ind w:left="726" w:hanging="363"/>
      <w:jc w:val="both"/>
    </w:pPr>
    <w:rPr>
      <w:rFonts w:ascii="宋体" w:hAnsi="Times New Roman" w:eastAsia="宋体" w:cs="Times New Roman"/>
      <w:sz w:val="18"/>
      <w:szCs w:val="18"/>
      <w:lang w:val="en-US" w:eastAsia="zh-CN" w:bidi="ar-SA"/>
    </w:rPr>
  </w:style>
  <w:style w:type="paragraph" w:customStyle="1" w:styleId="79">
    <w:name w:val="注×："/>
    <w:qFormat/>
    <w:uiPriority w:val="0"/>
    <w:pPr>
      <w:widowControl w:val="0"/>
      <w:numPr>
        <w:ilvl w:val="0"/>
        <w:numId w:val="8"/>
      </w:numPr>
      <w:autoSpaceDE w:val="0"/>
      <w:autoSpaceDN w:val="0"/>
      <w:ind w:left="811" w:hanging="448"/>
      <w:jc w:val="both"/>
    </w:pPr>
    <w:rPr>
      <w:rFonts w:ascii="宋体" w:hAnsi="Times New Roman" w:eastAsia="宋体" w:cs="Times New Roman"/>
      <w:sz w:val="18"/>
      <w:szCs w:val="18"/>
      <w:lang w:val="en-US" w:eastAsia="zh-CN" w:bidi="ar-SA"/>
    </w:rPr>
  </w:style>
  <w:style w:type="paragraph" w:customStyle="1" w:styleId="80">
    <w:name w:val="列项◆（三级）"/>
    <w:basedOn w:val="1"/>
    <w:qFormat/>
    <w:uiPriority w:val="0"/>
    <w:pPr>
      <w:numPr>
        <w:ilvl w:val="2"/>
        <w:numId w:val="5"/>
      </w:numPr>
    </w:pPr>
    <w:rPr>
      <w:rFonts w:ascii="宋体"/>
      <w:szCs w:val="21"/>
    </w:rPr>
  </w:style>
  <w:style w:type="paragraph" w:customStyle="1" w:styleId="81">
    <w:name w:val="示例×："/>
    <w:basedOn w:val="50"/>
    <w:qFormat/>
    <w:uiPriority w:val="0"/>
    <w:pPr>
      <w:numPr>
        <w:numId w:val="9"/>
      </w:numPr>
      <w:spacing w:beforeLines="0" w:afterLines="0"/>
      <w:outlineLvl w:val="9"/>
    </w:pPr>
    <w:rPr>
      <w:rFonts w:ascii="宋体" w:eastAsia="宋体"/>
      <w:sz w:val="18"/>
      <w:szCs w:val="18"/>
    </w:rPr>
  </w:style>
  <w:style w:type="paragraph" w:customStyle="1" w:styleId="82">
    <w:name w:val="注：（正文）"/>
    <w:basedOn w:val="78"/>
    <w:next w:val="24"/>
    <w:qFormat/>
    <w:uiPriority w:val="0"/>
    <w:pPr>
      <w:numPr>
        <w:numId w:val="10"/>
      </w:numPr>
      <w:ind w:left="726" w:hanging="363"/>
    </w:pPr>
  </w:style>
  <w:style w:type="paragraph" w:customStyle="1" w:styleId="83">
    <w:name w:val="注×：（正文）"/>
    <w:qFormat/>
    <w:uiPriority w:val="0"/>
    <w:pPr>
      <w:numPr>
        <w:ilvl w:val="0"/>
        <w:numId w:val="11"/>
      </w:numPr>
      <w:ind w:left="811" w:hanging="448"/>
      <w:jc w:val="both"/>
    </w:pPr>
    <w:rPr>
      <w:rFonts w:ascii="宋体" w:hAnsi="Times New Roman" w:eastAsia="宋体" w:cs="Times New Roman"/>
      <w:sz w:val="18"/>
      <w:szCs w:val="18"/>
      <w:lang w:val="en-US" w:eastAsia="zh-CN" w:bidi="ar-SA"/>
    </w:rPr>
  </w:style>
  <w:style w:type="paragraph" w:customStyle="1" w:styleId="84">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85">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86">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87">
    <w:name w:val="标准书眉_偶数页"/>
    <w:basedOn w:val="71"/>
    <w:next w:val="1"/>
    <w:autoRedefine/>
    <w:qFormat/>
    <w:uiPriority w:val="0"/>
    <w:pPr>
      <w:jc w:val="left"/>
    </w:pPr>
    <w:rPr>
      <w:rFonts w:hAnsi="黑体"/>
    </w:rPr>
  </w:style>
  <w:style w:type="paragraph" w:customStyle="1" w:styleId="88">
    <w:name w:val="标准书眉一"/>
    <w:autoRedefine/>
    <w:qFormat/>
    <w:uiPriority w:val="0"/>
    <w:pPr>
      <w:jc w:val="both"/>
    </w:pPr>
    <w:rPr>
      <w:rFonts w:ascii="Times New Roman" w:hAnsi="Times New Roman" w:eastAsia="宋体" w:cs="Times New Roman"/>
      <w:lang w:val="en-US" w:eastAsia="zh-CN" w:bidi="ar-SA"/>
    </w:rPr>
  </w:style>
  <w:style w:type="paragraph" w:customStyle="1" w:styleId="89">
    <w:name w:val="参考文献"/>
    <w:basedOn w:val="1"/>
    <w:next w:val="24"/>
    <w:qFormat/>
    <w:uiPriority w:val="0"/>
    <w:pPr>
      <w:keepNext/>
      <w:widowControl/>
      <w:numPr>
        <w:ilvl w:val="0"/>
        <w:numId w:val="12"/>
      </w:numPr>
      <w:shd w:val="clear" w:color="FFFFFF" w:fill="FFFFFF"/>
      <w:spacing w:line="240" w:lineRule="atLeast"/>
      <w:ind w:firstLine="200" w:firstLineChars="200"/>
      <w:jc w:val="left"/>
      <w:outlineLvl w:val="0"/>
    </w:pPr>
    <w:rPr>
      <w:rFonts w:ascii="黑体" w:hAnsi="黑体" w:eastAsia="黑体"/>
      <w:kern w:val="0"/>
      <w:szCs w:val="20"/>
    </w:rPr>
  </w:style>
  <w:style w:type="paragraph" w:customStyle="1" w:styleId="90">
    <w:name w:val="参考文献、索引标题"/>
    <w:basedOn w:val="1"/>
    <w:next w:val="24"/>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91">
    <w:name w:val="发布"/>
    <w:qFormat/>
    <w:uiPriority w:val="0"/>
    <w:rPr>
      <w:rFonts w:ascii="黑体" w:eastAsia="黑体"/>
      <w:spacing w:val="85"/>
      <w:w w:val="100"/>
      <w:position w:val="3"/>
      <w:sz w:val="28"/>
      <w:szCs w:val="28"/>
    </w:rPr>
  </w:style>
  <w:style w:type="paragraph" w:customStyle="1" w:styleId="92">
    <w:name w:val="发布部门"/>
    <w:next w:val="24"/>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93">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94">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95">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96">
    <w:name w:val="封面标准文稿编辑信息"/>
    <w:basedOn w:val="45"/>
    <w:qFormat/>
    <w:uiPriority w:val="0"/>
    <w:pPr>
      <w:framePr w:wrap="around"/>
      <w:spacing w:before="180" w:line="180" w:lineRule="exact"/>
    </w:pPr>
    <w:rPr>
      <w:sz w:val="21"/>
    </w:rPr>
  </w:style>
  <w:style w:type="paragraph" w:customStyle="1" w:styleId="97">
    <w:name w:val="封面正文"/>
    <w:qFormat/>
    <w:uiPriority w:val="0"/>
    <w:pPr>
      <w:jc w:val="both"/>
    </w:pPr>
    <w:rPr>
      <w:rFonts w:ascii="Times New Roman" w:hAnsi="Times New Roman" w:eastAsia="宋体" w:cs="Times New Roman"/>
      <w:lang w:val="en-US" w:eastAsia="zh-CN" w:bidi="ar-SA"/>
    </w:rPr>
  </w:style>
  <w:style w:type="paragraph" w:customStyle="1" w:styleId="98">
    <w:name w:val="附录标题"/>
    <w:basedOn w:val="24"/>
    <w:next w:val="24"/>
    <w:qFormat/>
    <w:uiPriority w:val="0"/>
    <w:pPr>
      <w:ind w:firstLine="0" w:firstLineChars="0"/>
      <w:jc w:val="center"/>
    </w:pPr>
    <w:rPr>
      <w:rFonts w:ascii="黑体" w:eastAsia="黑体"/>
    </w:rPr>
  </w:style>
  <w:style w:type="paragraph" w:customStyle="1" w:styleId="99">
    <w:name w:val="附录表标号"/>
    <w:basedOn w:val="1"/>
    <w:next w:val="24"/>
    <w:qFormat/>
    <w:uiPriority w:val="0"/>
    <w:pPr>
      <w:numPr>
        <w:ilvl w:val="0"/>
        <w:numId w:val="13"/>
      </w:numPr>
      <w:tabs>
        <w:tab w:val="clear" w:pos="0"/>
      </w:tabs>
      <w:spacing w:line="14" w:lineRule="exact"/>
      <w:ind w:left="811" w:hanging="448"/>
      <w:jc w:val="center"/>
      <w:outlineLvl w:val="0"/>
    </w:pPr>
    <w:rPr>
      <w:color w:val="FFFFFF"/>
    </w:rPr>
  </w:style>
  <w:style w:type="paragraph" w:customStyle="1" w:styleId="100">
    <w:name w:val="附录表标题"/>
    <w:basedOn w:val="1"/>
    <w:next w:val="24"/>
    <w:qFormat/>
    <w:uiPriority w:val="0"/>
    <w:pPr>
      <w:numPr>
        <w:ilvl w:val="1"/>
        <w:numId w:val="13"/>
      </w:numPr>
      <w:tabs>
        <w:tab w:val="left" w:pos="180"/>
      </w:tabs>
      <w:spacing w:beforeLines="50" w:afterLines="50"/>
      <w:ind w:left="0" w:firstLine="0"/>
      <w:jc w:val="center"/>
    </w:pPr>
    <w:rPr>
      <w:rFonts w:ascii="黑体" w:eastAsia="黑体"/>
      <w:szCs w:val="21"/>
    </w:rPr>
  </w:style>
  <w:style w:type="paragraph" w:customStyle="1" w:styleId="101">
    <w:name w:val="附录二级无"/>
    <w:basedOn w:val="65"/>
    <w:qFormat/>
    <w:uiPriority w:val="0"/>
    <w:pPr>
      <w:tabs>
        <w:tab w:val="clear" w:pos="360"/>
      </w:tabs>
      <w:spacing w:beforeLines="0" w:afterLines="0"/>
    </w:pPr>
    <w:rPr>
      <w:rFonts w:ascii="宋体" w:eastAsia="宋体"/>
      <w:szCs w:val="21"/>
    </w:rPr>
  </w:style>
  <w:style w:type="paragraph" w:customStyle="1" w:styleId="102">
    <w:name w:val="附录公式"/>
    <w:basedOn w:val="24"/>
    <w:next w:val="24"/>
    <w:link w:val="103"/>
    <w:qFormat/>
    <w:uiPriority w:val="0"/>
  </w:style>
  <w:style w:type="character" w:customStyle="1" w:styleId="103">
    <w:name w:val="附录公式 Char"/>
    <w:basedOn w:val="69"/>
    <w:link w:val="102"/>
    <w:qFormat/>
    <w:uiPriority w:val="0"/>
    <w:rPr>
      <w:rFonts w:ascii="宋体"/>
      <w:sz w:val="21"/>
      <w:lang w:val="en-US" w:eastAsia="zh-CN" w:bidi="ar-SA"/>
    </w:rPr>
  </w:style>
  <w:style w:type="paragraph" w:customStyle="1" w:styleId="104">
    <w:name w:val="附录公式编号制表符"/>
    <w:basedOn w:val="1"/>
    <w:next w:val="24"/>
    <w:qFormat/>
    <w:uiPriority w:val="0"/>
    <w:pPr>
      <w:widowControl/>
      <w:tabs>
        <w:tab w:val="center" w:pos="4201"/>
        <w:tab w:val="right" w:leader="dot" w:pos="9298"/>
      </w:tabs>
      <w:autoSpaceDE w:val="0"/>
      <w:autoSpaceDN w:val="0"/>
    </w:pPr>
    <w:rPr>
      <w:rFonts w:ascii="宋体"/>
      <w:kern w:val="0"/>
      <w:szCs w:val="20"/>
    </w:rPr>
  </w:style>
  <w:style w:type="paragraph" w:customStyle="1" w:styleId="105">
    <w:name w:val="附录三级无"/>
    <w:basedOn w:val="66"/>
    <w:qFormat/>
    <w:uiPriority w:val="0"/>
    <w:pPr>
      <w:tabs>
        <w:tab w:val="clear" w:pos="360"/>
      </w:tabs>
      <w:spacing w:beforeLines="0" w:afterLines="0"/>
    </w:pPr>
    <w:rPr>
      <w:rFonts w:ascii="宋体" w:eastAsia="宋体"/>
      <w:szCs w:val="21"/>
    </w:rPr>
  </w:style>
  <w:style w:type="paragraph" w:customStyle="1" w:styleId="106">
    <w:name w:val="附录数字编号列项（二级）"/>
    <w:qFormat/>
    <w:uiPriority w:val="0"/>
    <w:pPr>
      <w:numPr>
        <w:ilvl w:val="1"/>
        <w:numId w:val="14"/>
      </w:numPr>
    </w:pPr>
    <w:rPr>
      <w:rFonts w:ascii="宋体" w:hAnsi="Times New Roman" w:eastAsia="宋体" w:cs="Times New Roman"/>
      <w:sz w:val="21"/>
      <w:lang w:val="en-US" w:eastAsia="zh-CN" w:bidi="ar-SA"/>
    </w:rPr>
  </w:style>
  <w:style w:type="paragraph" w:customStyle="1" w:styleId="107">
    <w:name w:val="附录四级无"/>
    <w:basedOn w:val="67"/>
    <w:qFormat/>
    <w:uiPriority w:val="0"/>
    <w:pPr>
      <w:tabs>
        <w:tab w:val="clear" w:pos="360"/>
      </w:tabs>
      <w:spacing w:beforeLines="0" w:afterLines="0"/>
    </w:pPr>
    <w:rPr>
      <w:rFonts w:ascii="宋体" w:eastAsia="宋体"/>
      <w:szCs w:val="21"/>
    </w:rPr>
  </w:style>
  <w:style w:type="paragraph" w:customStyle="1" w:styleId="108">
    <w:name w:val="附录图标号"/>
    <w:basedOn w:val="1"/>
    <w:qFormat/>
    <w:uiPriority w:val="0"/>
    <w:pPr>
      <w:keepNext/>
      <w:pageBreakBefore/>
      <w:widowControl/>
      <w:numPr>
        <w:ilvl w:val="0"/>
        <w:numId w:val="15"/>
      </w:numPr>
      <w:spacing w:line="14" w:lineRule="exact"/>
      <w:ind w:left="0" w:firstLine="363"/>
      <w:jc w:val="center"/>
      <w:outlineLvl w:val="0"/>
    </w:pPr>
    <w:rPr>
      <w:color w:val="FFFFFF"/>
    </w:rPr>
  </w:style>
  <w:style w:type="paragraph" w:customStyle="1" w:styleId="109">
    <w:name w:val="附录图标题"/>
    <w:basedOn w:val="1"/>
    <w:next w:val="24"/>
    <w:qFormat/>
    <w:uiPriority w:val="0"/>
    <w:pPr>
      <w:numPr>
        <w:ilvl w:val="1"/>
        <w:numId w:val="15"/>
      </w:numPr>
      <w:tabs>
        <w:tab w:val="left" w:pos="363"/>
      </w:tabs>
      <w:spacing w:beforeLines="50" w:afterLines="50"/>
      <w:ind w:left="0" w:firstLine="0"/>
      <w:jc w:val="center"/>
    </w:pPr>
    <w:rPr>
      <w:rFonts w:ascii="黑体" w:eastAsia="黑体"/>
      <w:szCs w:val="21"/>
    </w:rPr>
  </w:style>
  <w:style w:type="paragraph" w:customStyle="1" w:styleId="110">
    <w:name w:val="附录五级无"/>
    <w:basedOn w:val="68"/>
    <w:qFormat/>
    <w:uiPriority w:val="0"/>
    <w:pPr>
      <w:tabs>
        <w:tab w:val="clear" w:pos="360"/>
      </w:tabs>
      <w:spacing w:beforeLines="0" w:afterLines="0"/>
    </w:pPr>
    <w:rPr>
      <w:rFonts w:ascii="宋体" w:eastAsia="宋体"/>
      <w:szCs w:val="21"/>
    </w:rPr>
  </w:style>
  <w:style w:type="paragraph" w:customStyle="1" w:styleId="111">
    <w:name w:val="附录一级无"/>
    <w:basedOn w:val="64"/>
    <w:qFormat/>
    <w:uiPriority w:val="0"/>
    <w:pPr>
      <w:tabs>
        <w:tab w:val="clear" w:pos="360"/>
      </w:tabs>
      <w:spacing w:beforeLines="0" w:afterLines="0"/>
    </w:pPr>
    <w:rPr>
      <w:rFonts w:ascii="宋体" w:eastAsia="宋体"/>
      <w:szCs w:val="21"/>
    </w:rPr>
  </w:style>
  <w:style w:type="paragraph" w:customStyle="1" w:styleId="112">
    <w:name w:val="附录字母编号列项（一级）"/>
    <w:qFormat/>
    <w:uiPriority w:val="0"/>
    <w:pPr>
      <w:tabs>
        <w:tab w:val="left" w:pos="839"/>
      </w:tabs>
    </w:pPr>
    <w:rPr>
      <w:rFonts w:ascii="宋体" w:hAnsi="Times New Roman" w:eastAsia="宋体" w:cs="Times New Roman"/>
      <w:sz w:val="21"/>
      <w:lang w:val="en-US" w:eastAsia="zh-CN" w:bidi="ar-SA"/>
    </w:rPr>
  </w:style>
  <w:style w:type="paragraph" w:customStyle="1" w:styleId="113">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14">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1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16">
    <w:name w:val="其他标准标志"/>
    <w:basedOn w:val="84"/>
    <w:qFormat/>
    <w:uiPriority w:val="0"/>
    <w:pPr>
      <w:framePr w:w="6101" w:wrap="around" w:vAnchor="page" w:hAnchor="page" w:x="4673" w:y="942"/>
    </w:pPr>
    <w:rPr>
      <w:w w:val="130"/>
    </w:rPr>
  </w:style>
  <w:style w:type="paragraph" w:customStyle="1" w:styleId="117">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18">
    <w:name w:val="其他发布部门"/>
    <w:basedOn w:val="92"/>
    <w:qFormat/>
    <w:uiPriority w:val="0"/>
    <w:pPr>
      <w:framePr w:wrap="around" w:y="15310"/>
      <w:spacing w:line="0" w:lineRule="atLeast"/>
    </w:pPr>
    <w:rPr>
      <w:rFonts w:ascii="黑体" w:eastAsia="黑体"/>
      <w:b w:val="0"/>
    </w:rPr>
  </w:style>
  <w:style w:type="paragraph" w:customStyle="1" w:styleId="119">
    <w:name w:val="实施日期"/>
    <w:qFormat/>
    <w:uiPriority w:val="0"/>
    <w:pPr>
      <w:framePr w:w="3997" w:h="471" w:hRule="exact" w:vSpace="181" w:wrap="around" w:vAnchor="page" w:hAnchor="page" w:x="7089" w:y="14097"/>
      <w:jc w:val="right"/>
    </w:pPr>
    <w:rPr>
      <w:rFonts w:ascii="Times New Roman" w:hAnsi="Times New Roman" w:eastAsia="黑体" w:cs="Times New Roman"/>
      <w:sz w:val="28"/>
      <w:lang w:val="en-US" w:eastAsia="zh-CN" w:bidi="ar-SA"/>
    </w:rPr>
  </w:style>
  <w:style w:type="paragraph" w:customStyle="1" w:styleId="120">
    <w:name w:val="示例后文字"/>
    <w:basedOn w:val="24"/>
    <w:next w:val="24"/>
    <w:qFormat/>
    <w:uiPriority w:val="0"/>
    <w:pPr>
      <w:ind w:firstLine="360"/>
    </w:pPr>
    <w:rPr>
      <w:sz w:val="18"/>
    </w:rPr>
  </w:style>
  <w:style w:type="paragraph" w:customStyle="1" w:styleId="121">
    <w:name w:val="首示例"/>
    <w:next w:val="24"/>
    <w:link w:val="122"/>
    <w:qFormat/>
    <w:uiPriority w:val="0"/>
    <w:pPr>
      <w:tabs>
        <w:tab w:val="left" w:pos="360"/>
      </w:tabs>
    </w:pPr>
    <w:rPr>
      <w:rFonts w:ascii="宋体" w:hAnsi="宋体" w:eastAsia="宋体" w:cs="Times New Roman"/>
      <w:kern w:val="2"/>
      <w:sz w:val="18"/>
      <w:szCs w:val="18"/>
      <w:lang w:val="en-US" w:eastAsia="zh-CN" w:bidi="ar-SA"/>
    </w:rPr>
  </w:style>
  <w:style w:type="character" w:customStyle="1" w:styleId="122">
    <w:name w:val="首示例 Char"/>
    <w:link w:val="121"/>
    <w:qFormat/>
    <w:uiPriority w:val="0"/>
    <w:rPr>
      <w:rFonts w:ascii="宋体" w:hAnsi="宋体"/>
      <w:kern w:val="2"/>
      <w:sz w:val="18"/>
      <w:szCs w:val="18"/>
    </w:rPr>
  </w:style>
  <w:style w:type="paragraph" w:customStyle="1" w:styleId="123">
    <w:name w:val="四级无"/>
    <w:basedOn w:val="53"/>
    <w:qFormat/>
    <w:uiPriority w:val="0"/>
    <w:pPr>
      <w:spacing w:beforeLines="0" w:afterLines="0"/>
    </w:pPr>
    <w:rPr>
      <w:rFonts w:ascii="宋体" w:eastAsia="宋体"/>
    </w:rPr>
  </w:style>
  <w:style w:type="paragraph" w:customStyle="1" w:styleId="124">
    <w:name w:val="条文脚注"/>
    <w:basedOn w:val="25"/>
    <w:qFormat/>
    <w:uiPriority w:val="0"/>
    <w:pPr>
      <w:numPr>
        <w:numId w:val="0"/>
      </w:numPr>
      <w:jc w:val="both"/>
    </w:pPr>
  </w:style>
  <w:style w:type="paragraph" w:customStyle="1" w:styleId="125">
    <w:name w:val="图标脚注说明"/>
    <w:basedOn w:val="24"/>
    <w:qFormat/>
    <w:uiPriority w:val="0"/>
    <w:pPr>
      <w:ind w:left="840" w:hanging="420" w:firstLineChars="0"/>
    </w:pPr>
    <w:rPr>
      <w:sz w:val="18"/>
      <w:szCs w:val="18"/>
    </w:rPr>
  </w:style>
  <w:style w:type="paragraph" w:customStyle="1" w:styleId="126">
    <w:name w:val="图表脚注说明"/>
    <w:basedOn w:val="1"/>
    <w:qFormat/>
    <w:uiPriority w:val="0"/>
    <w:pPr>
      <w:numPr>
        <w:ilvl w:val="0"/>
        <w:numId w:val="16"/>
      </w:numPr>
    </w:pPr>
    <w:rPr>
      <w:rFonts w:ascii="宋体"/>
      <w:sz w:val="18"/>
      <w:szCs w:val="18"/>
    </w:rPr>
  </w:style>
  <w:style w:type="paragraph" w:customStyle="1" w:styleId="127">
    <w:name w:val="图的脚注"/>
    <w:next w:val="24"/>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28">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29">
    <w:name w:val="五级无"/>
    <w:basedOn w:val="54"/>
    <w:qFormat/>
    <w:uiPriority w:val="0"/>
    <w:pPr>
      <w:spacing w:beforeLines="0" w:afterLines="0"/>
    </w:pPr>
    <w:rPr>
      <w:rFonts w:ascii="宋体" w:eastAsia="宋体"/>
    </w:rPr>
  </w:style>
  <w:style w:type="paragraph" w:customStyle="1" w:styleId="130">
    <w:name w:val="正文表标题"/>
    <w:next w:val="24"/>
    <w:qFormat/>
    <w:uiPriority w:val="0"/>
    <w:pPr>
      <w:numPr>
        <w:ilvl w:val="0"/>
        <w:numId w:val="17"/>
      </w:numPr>
      <w:spacing w:beforeLines="50" w:afterLines="50"/>
      <w:jc w:val="center"/>
    </w:pPr>
    <w:rPr>
      <w:rFonts w:ascii="黑体" w:hAnsi="Times New Roman" w:eastAsia="黑体" w:cs="Times New Roman"/>
      <w:sz w:val="21"/>
      <w:lang w:val="en-US" w:eastAsia="zh-CN" w:bidi="ar-SA"/>
    </w:rPr>
  </w:style>
  <w:style w:type="paragraph" w:customStyle="1" w:styleId="131">
    <w:name w:val="正文公式编号制表符"/>
    <w:basedOn w:val="24"/>
    <w:next w:val="24"/>
    <w:qFormat/>
    <w:uiPriority w:val="0"/>
    <w:pPr>
      <w:ind w:firstLine="0" w:firstLineChars="0"/>
    </w:pPr>
  </w:style>
  <w:style w:type="paragraph" w:customStyle="1" w:styleId="132">
    <w:name w:val="正文图标题"/>
    <w:next w:val="24"/>
    <w:qFormat/>
    <w:uiPriority w:val="0"/>
    <w:pPr>
      <w:numPr>
        <w:ilvl w:val="0"/>
        <w:numId w:val="18"/>
      </w:numPr>
      <w:spacing w:beforeLines="50" w:afterLines="50"/>
      <w:jc w:val="center"/>
    </w:pPr>
    <w:rPr>
      <w:rFonts w:ascii="黑体" w:hAnsi="Times New Roman" w:eastAsia="黑体" w:cs="Times New Roman"/>
      <w:sz w:val="21"/>
      <w:lang w:val="en-US" w:eastAsia="zh-CN" w:bidi="ar-SA"/>
    </w:rPr>
  </w:style>
  <w:style w:type="paragraph" w:customStyle="1" w:styleId="133">
    <w:name w:val="终结线"/>
    <w:basedOn w:val="1"/>
    <w:qFormat/>
    <w:uiPriority w:val="0"/>
    <w:pPr>
      <w:framePr w:hSpace="181" w:vSpace="181" w:wrap="around" w:vAnchor="text" w:hAnchor="margin" w:xAlign="center" w:y="285"/>
    </w:pPr>
  </w:style>
  <w:style w:type="paragraph" w:customStyle="1" w:styleId="134">
    <w:name w:val="其他发布日期"/>
    <w:qFormat/>
    <w:uiPriority w:val="0"/>
    <w:pPr>
      <w:framePr w:w="3997" w:h="471" w:hRule="exact" w:vSpace="181" w:wrap="around" w:vAnchor="page" w:hAnchor="page" w:x="1419" w:y="14097" w:anchorLock="1"/>
    </w:pPr>
    <w:rPr>
      <w:rFonts w:ascii="Times New Roman" w:hAnsi="Times New Roman" w:eastAsia="黑体" w:cs="Times New Roman"/>
      <w:sz w:val="28"/>
      <w:lang w:val="en-US" w:eastAsia="zh-CN" w:bidi="ar-SA"/>
    </w:rPr>
  </w:style>
  <w:style w:type="paragraph" w:customStyle="1" w:styleId="135">
    <w:name w:val="其他实施日期"/>
    <w:basedOn w:val="119"/>
    <w:qFormat/>
    <w:uiPriority w:val="0"/>
    <w:pPr>
      <w:framePr w:wrap="around"/>
    </w:pPr>
  </w:style>
  <w:style w:type="paragraph" w:customStyle="1" w:styleId="136">
    <w:name w:val="封面标准名称2"/>
    <w:basedOn w:val="48"/>
    <w:qFormat/>
    <w:uiPriority w:val="0"/>
    <w:pPr>
      <w:framePr w:wrap="around" w:y="4469"/>
      <w:spacing w:beforeLines="630"/>
    </w:pPr>
  </w:style>
  <w:style w:type="paragraph" w:customStyle="1" w:styleId="137">
    <w:name w:val="封面标准英文名称2"/>
    <w:basedOn w:val="47"/>
    <w:qFormat/>
    <w:uiPriority w:val="0"/>
    <w:pPr>
      <w:framePr w:wrap="around" w:y="4469"/>
    </w:pPr>
  </w:style>
  <w:style w:type="paragraph" w:customStyle="1" w:styleId="138">
    <w:name w:val="封面一致性程度标识2"/>
    <w:basedOn w:val="46"/>
    <w:qFormat/>
    <w:uiPriority w:val="0"/>
    <w:pPr>
      <w:framePr w:wrap="around" w:y="4469"/>
    </w:pPr>
  </w:style>
  <w:style w:type="paragraph" w:customStyle="1" w:styleId="139">
    <w:name w:val="封面标准文稿类别2"/>
    <w:basedOn w:val="45"/>
    <w:qFormat/>
    <w:uiPriority w:val="0"/>
    <w:pPr>
      <w:framePr w:wrap="around" w:y="4469"/>
    </w:pPr>
  </w:style>
  <w:style w:type="paragraph" w:customStyle="1" w:styleId="140">
    <w:name w:val="封面标准文稿编辑信息2"/>
    <w:basedOn w:val="96"/>
    <w:qFormat/>
    <w:uiPriority w:val="0"/>
    <w:pPr>
      <w:framePr w:wrap="around" w:y="4469"/>
    </w:pPr>
  </w:style>
  <w:style w:type="paragraph" w:customStyle="1" w:styleId="141">
    <w:name w:val="标准名称"/>
    <w:basedOn w:val="75"/>
    <w:link w:val="144"/>
    <w:qFormat/>
    <w:uiPriority w:val="0"/>
  </w:style>
  <w:style w:type="character" w:customStyle="1" w:styleId="142">
    <w:name w:val="占位符文本1"/>
    <w:basedOn w:val="36"/>
    <w:semiHidden/>
    <w:qFormat/>
    <w:uiPriority w:val="99"/>
    <w:rPr>
      <w:color w:val="808080"/>
    </w:rPr>
  </w:style>
  <w:style w:type="character" w:customStyle="1" w:styleId="143">
    <w:name w:val="目次、标准名称标题 Char"/>
    <w:basedOn w:val="36"/>
    <w:link w:val="75"/>
    <w:qFormat/>
    <w:uiPriority w:val="0"/>
    <w:rPr>
      <w:rFonts w:ascii="黑体" w:eastAsia="黑体"/>
      <w:sz w:val="32"/>
      <w:shd w:val="clear" w:color="FFFFFF" w:fill="FFFFFF"/>
    </w:rPr>
  </w:style>
  <w:style w:type="character" w:customStyle="1" w:styleId="144">
    <w:name w:val="标准名称 Char"/>
    <w:basedOn w:val="143"/>
    <w:link w:val="141"/>
    <w:qFormat/>
    <w:uiPriority w:val="0"/>
    <w:rPr>
      <w:rFonts w:ascii="黑体" w:eastAsia="黑体"/>
      <w:sz w:val="32"/>
      <w:shd w:val="clear" w:color="FFFFFF" w:fill="FFFFFF"/>
    </w:rPr>
  </w:style>
  <w:style w:type="character" w:customStyle="1" w:styleId="145">
    <w:name w:val="批注框文本 字符"/>
    <w:basedOn w:val="36"/>
    <w:link w:val="17"/>
    <w:qFormat/>
    <w:uiPriority w:val="0"/>
    <w:rPr>
      <w:kern w:val="2"/>
      <w:sz w:val="18"/>
      <w:szCs w:val="18"/>
    </w:rPr>
  </w:style>
  <w:style w:type="paragraph" w:customStyle="1" w:styleId="146">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147">
    <w:name w:val="标题 2 字符"/>
    <w:basedOn w:val="36"/>
    <w:link w:val="3"/>
    <w:qFormat/>
    <w:uiPriority w:val="0"/>
    <w:rPr>
      <w:rFonts w:asciiTheme="majorHAnsi" w:hAnsiTheme="majorHAnsi" w:eastAsiaTheme="majorEastAsia" w:cstheme="majorBidi"/>
      <w:b/>
      <w:bCs/>
      <w:kern w:val="2"/>
      <w:sz w:val="32"/>
      <w:szCs w:val="32"/>
    </w:rPr>
  </w:style>
  <w:style w:type="paragraph" w:styleId="148">
    <w:name w:val="List Paragraph"/>
    <w:basedOn w:val="1"/>
    <w:qFormat/>
    <w:uiPriority w:val="99"/>
    <w:pPr>
      <w:ind w:firstLine="420" w:firstLineChars="200"/>
    </w:pPr>
  </w:style>
  <w:style w:type="character" w:customStyle="1" w:styleId="149">
    <w:name w:val="批注文字 字符"/>
    <w:basedOn w:val="36"/>
    <w:link w:val="9"/>
    <w:semiHidden/>
    <w:qFormat/>
    <w:uiPriority w:val="0"/>
    <w:rPr>
      <w:kern w:val="2"/>
      <w:sz w:val="21"/>
      <w:szCs w:val="24"/>
    </w:rPr>
  </w:style>
  <w:style w:type="character" w:customStyle="1" w:styleId="150">
    <w:name w:val="批注主题 字符"/>
    <w:basedOn w:val="149"/>
    <w:link w:val="33"/>
    <w:semiHidden/>
    <w:qFormat/>
    <w:uiPriority w:val="0"/>
    <w:rPr>
      <w:b/>
      <w:bCs/>
      <w:kern w:val="2"/>
      <w:sz w:val="21"/>
      <w:szCs w:val="24"/>
    </w:rPr>
  </w:style>
  <w:style w:type="character" w:customStyle="1" w:styleId="151">
    <w:name w:val="页眉 字符"/>
    <w:basedOn w:val="36"/>
    <w:link w:val="19"/>
    <w:qFormat/>
    <w:uiPriority w:val="0"/>
    <w:rPr>
      <w:kern w:val="2"/>
      <w:sz w:val="18"/>
      <w:szCs w:val="18"/>
    </w:rPr>
  </w:style>
  <w:style w:type="character" w:customStyle="1" w:styleId="152">
    <w:name w:val="未处理的提及1"/>
    <w:basedOn w:val="36"/>
    <w:semiHidden/>
    <w:unhideWhenUsed/>
    <w:qFormat/>
    <w:uiPriority w:val="99"/>
    <w:rPr>
      <w:color w:val="605E5C"/>
      <w:shd w:val="clear" w:color="auto" w:fill="E1DFDD"/>
    </w:rPr>
  </w:style>
  <w:style w:type="paragraph" w:customStyle="1" w:styleId="15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microsoft.com/office/2006/relationships/keyMapCustomizations" Target="customizations.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5D26DE-8CA9-4819-8A07-DED7621525B0}">
  <ds:schemaRefs/>
</ds:datastoreItem>
</file>

<file path=docProps/app.xml><?xml version="1.0" encoding="utf-8"?>
<Properties xmlns="http://schemas.openxmlformats.org/officeDocument/2006/extended-properties" xmlns:vt="http://schemas.openxmlformats.org/officeDocument/2006/docPropsVTypes">
  <Template>Normal</Template>
  <Company>zle</Company>
  <Pages>24</Pages>
  <Words>13887</Words>
  <Characters>14779</Characters>
  <Lines>22</Lines>
  <Paragraphs>6</Paragraphs>
  <TotalTime>1</TotalTime>
  <ScaleCrop>false</ScaleCrop>
  <LinksUpToDate>false</LinksUpToDate>
  <CharactersWithSpaces>15130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2020-12-25T02:31:00Z</dcterms:created>
  <dc:creator>CNIS</dc:creator>
  <cp:lastModifiedBy>娟子</cp:lastModifiedBy>
  <cp:lastPrinted>2020-12-25T09:36:00Z</cp:lastPrinted>
  <dcterms:modified xsi:type="dcterms:W3CDTF">2026-10-15T03:40:38Z</dcterms:modified>
  <dc:title>标准名称</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45A787BE21B244A1A145E00F02D2C491_13</vt:lpwstr>
  </property>
  <property fmtid="{D5CDD505-2E9C-101B-9397-08002B2CF9AE}" pid="4" name="KSOTemplateDocerSaveRecord">
    <vt:lpwstr>eyJoZGlkIjoiMjZkMjIyNGU3N2U2YTYwZjRlM2JkM2NkZTVlZmZlMjkiLCJ1c2VySWQiOiIzNzA5NTM0ODkifQ==</vt:lpwstr>
  </property>
</Properties>
</file>