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AF6C45">
      <w:pPr>
        <w:jc w:val="center"/>
        <w:rPr>
          <w:rFonts w:hint="eastAsia" w:ascii="华文中宋" w:hAnsi="华文中宋" w:eastAsia="华文中宋"/>
          <w:color w:val="auto"/>
          <w:sz w:val="44"/>
          <w:szCs w:val="44"/>
        </w:rPr>
      </w:pPr>
      <w:r>
        <w:rPr>
          <w:rFonts w:hint="eastAsia" w:ascii="华文中宋" w:hAnsi="华文中宋" w:eastAsia="华文中宋"/>
          <w:color w:val="auto"/>
          <w:sz w:val="44"/>
          <w:szCs w:val="44"/>
        </w:rPr>
        <w:t>《老年健康服务类专业心理照护胜任力评价指南》</w:t>
      </w:r>
      <w:r>
        <w:rPr>
          <w:rFonts w:hint="eastAsia" w:ascii="华文中宋" w:hAnsi="华文中宋" w:eastAsia="华文中宋"/>
          <w:color w:val="auto"/>
          <w:sz w:val="44"/>
          <w:szCs w:val="44"/>
          <w:lang w:eastAsia="zh-CN"/>
        </w:rPr>
        <w:t>团体</w:t>
      </w:r>
      <w:r>
        <w:rPr>
          <w:rFonts w:hint="eastAsia" w:ascii="华文中宋" w:hAnsi="华文中宋" w:eastAsia="华文中宋"/>
          <w:color w:val="auto"/>
          <w:sz w:val="44"/>
          <w:szCs w:val="44"/>
        </w:rPr>
        <w:t>标准编制说明</w:t>
      </w:r>
    </w:p>
    <w:p w14:paraId="18E80A30">
      <w:pPr>
        <w:rPr>
          <w:rFonts w:hint="eastAsia"/>
          <w:color w:val="auto"/>
          <w:sz w:val="32"/>
        </w:rPr>
      </w:pPr>
    </w:p>
    <w:p w14:paraId="406051FA">
      <w:pPr>
        <w:numPr>
          <w:ilvl w:val="0"/>
          <w:numId w:val="0"/>
        </w:numPr>
        <w:ind w:firstLine="640" w:firstLineChars="200"/>
        <w:rPr>
          <w:rFonts w:hint="eastAsia" w:ascii="黑体" w:hAnsi="黑体" w:eastAsia="黑体" w:cs="黑体"/>
          <w:color w:val="auto"/>
          <w:sz w:val="32"/>
        </w:rPr>
      </w:pPr>
      <w:r>
        <w:rPr>
          <w:rFonts w:hint="eastAsia" w:ascii="黑体" w:hAnsi="黑体" w:eastAsia="黑体" w:cs="黑体"/>
          <w:color w:val="auto"/>
          <w:sz w:val="32"/>
          <w:lang w:val="en-US" w:eastAsia="zh-CN"/>
        </w:rPr>
        <w:t>一、</w:t>
      </w:r>
      <w:r>
        <w:rPr>
          <w:rFonts w:hint="eastAsia" w:ascii="黑体" w:hAnsi="黑体" w:eastAsia="黑体" w:cs="黑体"/>
          <w:color w:val="auto"/>
          <w:sz w:val="32"/>
        </w:rPr>
        <w:t>任务来源，起草单位，协作单位，主要起草人</w:t>
      </w:r>
    </w:p>
    <w:p w14:paraId="7BE545A6">
      <w:pPr>
        <w:numPr>
          <w:ilvl w:val="0"/>
          <w:numId w:val="0"/>
        </w:numPr>
        <w:ind w:left="0" w:leftChars="0" w:firstLine="640" w:firstLineChars="200"/>
        <w:rPr>
          <w:rFonts w:hint="eastAsia" w:ascii="仿宋_GB2312" w:eastAsia="仿宋_GB2312"/>
          <w:color w:val="0000FF"/>
          <w:sz w:val="32"/>
          <w:lang w:val="en-US" w:eastAsia="zh-CN"/>
        </w:rPr>
      </w:pPr>
      <w:r>
        <w:rPr>
          <w:rFonts w:hint="eastAsia" w:ascii="仿宋_GB2312" w:eastAsia="仿宋_GB2312"/>
          <w:color w:val="0000FF"/>
          <w:sz w:val="32"/>
          <w:lang w:val="en-US" w:eastAsia="zh-CN"/>
        </w:rPr>
        <w:t>提示：应写明任务来源的文件名称、文件号、标准项目编号、起草单位、起草人等。起草单位、起草人应与标准正文保持一致。</w:t>
      </w:r>
    </w:p>
    <w:p w14:paraId="34CF2EE6">
      <w:pPr>
        <w:numPr>
          <w:ilvl w:val="0"/>
          <w:numId w:val="0"/>
        </w:numPr>
        <w:ind w:firstLine="640" w:firstLineChars="200"/>
        <w:rPr>
          <w:rFonts w:hint="eastAsia" w:ascii="黑体" w:hAnsi="黑体" w:eastAsia="黑体" w:cs="黑体"/>
          <w:color w:val="auto"/>
          <w:sz w:val="32"/>
        </w:rPr>
      </w:pPr>
      <w:r>
        <w:rPr>
          <w:rFonts w:hint="eastAsia" w:ascii="黑体" w:hAnsi="黑体" w:eastAsia="黑体" w:cs="黑体"/>
          <w:color w:val="auto"/>
          <w:sz w:val="32"/>
          <w:lang w:val="en-US" w:eastAsia="zh-CN"/>
        </w:rPr>
        <w:t>二、</w:t>
      </w:r>
      <w:r>
        <w:rPr>
          <w:rFonts w:hint="eastAsia" w:ascii="黑体" w:hAnsi="黑体" w:eastAsia="黑体" w:cs="黑体"/>
          <w:color w:val="auto"/>
          <w:sz w:val="32"/>
        </w:rPr>
        <w:t>制定标准的必要性和意义</w:t>
      </w:r>
    </w:p>
    <w:p w14:paraId="0C0B0BE2">
      <w:pPr>
        <w:numPr>
          <w:ilvl w:val="0"/>
          <w:numId w:val="0"/>
        </w:numPr>
        <w:ind w:leftChars="200"/>
        <w:rPr>
          <w:rFonts w:hint="eastAsia" w:ascii="黑体" w:hAnsi="黑体" w:eastAsia="黑体" w:cs="黑体"/>
          <w:color w:val="auto"/>
          <w:sz w:val="32"/>
          <w:lang w:val="en-US" w:eastAsia="zh-CN"/>
        </w:rPr>
      </w:pPr>
      <w:r>
        <w:rPr>
          <w:rFonts w:hint="eastAsia" w:ascii="黑体" w:hAnsi="黑体" w:eastAsia="黑体" w:cs="黑体"/>
          <w:color w:val="auto"/>
          <w:sz w:val="32"/>
          <w:lang w:val="en-US" w:eastAsia="zh-CN"/>
        </w:rPr>
        <w:t>（一）政策依据</w:t>
      </w:r>
    </w:p>
    <w:p w14:paraId="0B24305E">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积极应对人口老龄化是我国经济社会发展的重要战略任务。《“健康中国2030”规划纲要》明确提出，推动开展老年心理健康与关怀服务，加强老年痴呆症等的有效干预。《“十四五”健康老龄化规划》进一步要求，扩大老年人心理关爱行动覆盖范围，针对抑郁、焦虑等老年人常见精神障碍和心理行为问题，开展心理健康状况评估、早期识别和随访管理，为老年人特别是有特殊困难的老年人提供心理辅导、情绪纾解、悲伤抚慰等心理关怀服务。“十五五”时期，养老服务体系建设进一步向高质量、协同化和综合化方向发展。《中共中央关于制定国民经济和社会发展第十五个五年规划的建议》提出，扩大康复护理、安宁疗护服务供给，加强康复护理、安宁疗护服务人员培训培养，实施老年营养、心理、康复、痴呆预防等专项行动。上述政策导向表明，心理照护已成为老年健康服务体系建设的重要环节。</w:t>
      </w:r>
    </w:p>
    <w:p w14:paraId="42E83249">
      <w:pPr>
        <w:numPr>
          <w:ilvl w:val="0"/>
          <w:numId w:val="0"/>
        </w:numPr>
        <w:ind w:leftChars="200"/>
        <w:rPr>
          <w:rFonts w:hint="eastAsia" w:ascii="黑体" w:hAnsi="黑体" w:eastAsia="黑体" w:cs="黑体"/>
          <w:color w:val="auto"/>
          <w:sz w:val="32"/>
        </w:rPr>
      </w:pPr>
      <w:r>
        <w:rPr>
          <w:rFonts w:hint="eastAsia" w:ascii="黑体" w:hAnsi="黑体" w:eastAsia="黑体" w:cs="黑体"/>
          <w:color w:val="auto"/>
          <w:sz w:val="32"/>
        </w:rPr>
        <w:t>（二）应用背景</w:t>
      </w:r>
    </w:p>
    <w:p w14:paraId="6DE22376">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随着我国人口老龄化程度不断加深，养老服务需求已由基础生活照护逐步转向身心整合照护。老年人在养老机构、社区居家、失智照护、慢性病长期管理和安宁疗护等服务场景中，不仅需要饮食起居、清洁照护和健康管理，也需要情绪安抚、心理支持、尊严维护和关系协调。心理照护能力已成为影响养老服务质量、老年人生活质量和养老服务人才岗位胜任力的重要因素。</w:t>
      </w:r>
    </w:p>
    <w:p w14:paraId="58CD2D51">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本研究团队面向京津冀地区开展的调研显示，岗位端对心理照护相关能力具有较高需求强度。一线照护实践者和养老机构管理者对专业基础知识/能力、专业技术能力、协作与自我保护能力三个模块均给出较高重要性评价（均值均在4.62以上，满分5分），说明心理照护能力已成为养老服务岗位胜任的重要组成部分。</w:t>
      </w:r>
    </w:p>
    <w:p w14:paraId="691AE1AA">
      <w:pPr>
        <w:numPr>
          <w:ilvl w:val="0"/>
          <w:numId w:val="0"/>
        </w:numPr>
        <w:ind w:leftChars="200"/>
        <w:rPr>
          <w:rFonts w:hint="eastAsia" w:ascii="黑体" w:hAnsi="黑体" w:eastAsia="黑体" w:cs="黑体"/>
          <w:color w:val="auto"/>
          <w:sz w:val="32"/>
        </w:rPr>
      </w:pPr>
      <w:r>
        <w:rPr>
          <w:rFonts w:hint="eastAsia" w:ascii="黑体" w:hAnsi="黑体" w:eastAsia="黑体" w:cs="黑体"/>
          <w:color w:val="auto"/>
          <w:sz w:val="32"/>
        </w:rPr>
        <w:t>（三）目前存在的问题</w:t>
      </w:r>
    </w:p>
    <w:p w14:paraId="0E05F25C">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当前高职养老专业心理照护人才培养仍存在以下突出问题：</w:t>
      </w:r>
    </w:p>
    <w:p w14:paraId="4441316B">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一是培养定位不够清晰。 部分院校将心理照护内容嵌入相关课程之中，尚未形成独立、系统、可评价的能力结构。学生在情绪识别、沟通共情等方面仍存在能力短板。</w:t>
      </w:r>
    </w:p>
    <w:p w14:paraId="484B0EC4">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二是课程内容相对分散。 心理照护相关教学内容分散在老年护理、老年社会工作等不同课程中，缺乏系统化的能力培养主线。调研中教育端对学生心理照护能力的实际达成水平评价较低，专业基础知识/能力评价均值仅为2.98（满分5分），提示现有课程体系仍需进一步强化。</w:t>
      </w:r>
    </w:p>
    <w:p w14:paraId="450076AB">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三是实践训练不足。 学生虽然学习了老年心理相关知识，但当前课程教学中存在理论讲授偏多、情境沟通训练不足的问题，学生将知识转化为沟通行动、情绪判断和隐性需求识别能力仍需提升。</w:t>
      </w:r>
    </w:p>
    <w:p w14:paraId="169BB97D">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四是评价标准不完善。 目前高职院校和养老服务机构普遍缺乏针对心理照护胜任力的系统化、标准化评价工具和评价体系，难以对学生或从业人员的心理照护能力进行科学、客观、可操作的评估。</w:t>
      </w:r>
    </w:p>
    <w:p w14:paraId="21104A58">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问卷供需差距分析显示，学生在异常情绪与行为表现识别、精神状态评估、心理评估、死亡教育、临终心理照护、失智照护和家属沟通等方面的自评掌握度与岗位重要性之间存在较大差距，这些正是当前人才培养中的重点短板。</w:t>
      </w:r>
    </w:p>
    <w:p w14:paraId="59AC57C2">
      <w:pPr>
        <w:numPr>
          <w:ilvl w:val="0"/>
          <w:numId w:val="0"/>
        </w:numPr>
        <w:ind w:leftChars="200"/>
        <w:rPr>
          <w:rFonts w:hint="eastAsia" w:ascii="黑体" w:hAnsi="黑体" w:eastAsia="黑体" w:cs="黑体"/>
          <w:color w:val="auto"/>
          <w:sz w:val="32"/>
        </w:rPr>
      </w:pPr>
      <w:r>
        <w:rPr>
          <w:rFonts w:hint="eastAsia" w:ascii="黑体" w:hAnsi="黑体" w:eastAsia="黑体" w:cs="黑体"/>
          <w:color w:val="auto"/>
          <w:sz w:val="32"/>
        </w:rPr>
        <w:t>（四）本标准规范的内容与作用</w:t>
      </w:r>
    </w:p>
    <w:p w14:paraId="37DA086B">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本文件提供了老年健康服务类专业学生心理照护胜任力评价的总体原则、评价指标体系、评价实施、评价结果应用与动态管理等方面的建议。标准构建了由4个一级指标（基础能力、专项能力、职业素养、综合能力）、12个二级指标和若干三级指标（评价要点）组成的评价指标体系。本文件适用于高等职业院校老年健康服务类专业学生心理照护胜任力的评价，也可供养老服务机构和相关用人单位开展员工心理照护胜任力评价时参考使用。</w:t>
      </w:r>
    </w:p>
    <w:p w14:paraId="5F0AB0F5">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本标准的制定将发挥以下作用：</w:t>
      </w:r>
    </w:p>
    <w:p w14:paraId="5BE25A1D">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1.为高职院校老年健康服务类专业心理照护人才培养提供明确的评价标准，推动培养目标与岗位需求有效衔接；</w:t>
      </w:r>
    </w:p>
    <w:p w14:paraId="716B9024">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2.为学生心理照护能力发展提供清晰的评价依据和成长路径，诊断能力发展的优势与短板；</w:t>
      </w:r>
    </w:p>
    <w:p w14:paraId="6473F70B">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3.为用人单位的人员选拔、岗位匹配和在职培训提供可操作的评价工具；</w:t>
      </w:r>
    </w:p>
    <w:p w14:paraId="602459CB">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4.填补国内老年健康服务类专业心理照护胜任力评价领域标准空白，促进养老服务行业心理照护人才培养的标准化、专业化和规范化建设。</w:t>
      </w:r>
    </w:p>
    <w:p w14:paraId="32AD29B9">
      <w:pPr>
        <w:numPr>
          <w:ilvl w:val="0"/>
          <w:numId w:val="0"/>
        </w:numPr>
        <w:ind w:left="0" w:leftChars="0" w:firstLine="640" w:firstLineChars="200"/>
        <w:rPr>
          <w:rFonts w:hint="eastAsia" w:ascii="黑体" w:hAnsi="黑体" w:eastAsia="黑体" w:cs="黑体"/>
          <w:color w:val="auto"/>
          <w:sz w:val="32"/>
        </w:rPr>
      </w:pPr>
      <w:r>
        <w:rPr>
          <w:rFonts w:hint="eastAsia" w:ascii="黑体" w:hAnsi="黑体" w:eastAsia="黑体" w:cs="黑体"/>
          <w:color w:val="auto"/>
          <w:sz w:val="32"/>
          <w:lang w:val="en-US" w:eastAsia="zh-CN"/>
        </w:rPr>
        <w:t xml:space="preserve">三、 </w:t>
      </w:r>
      <w:r>
        <w:rPr>
          <w:rFonts w:hint="eastAsia" w:ascii="黑体" w:hAnsi="黑体" w:eastAsia="黑体" w:cs="黑体"/>
          <w:color w:val="auto"/>
          <w:sz w:val="32"/>
        </w:rPr>
        <w:t>主要工作过程</w:t>
      </w:r>
    </w:p>
    <w:p w14:paraId="381AB241">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（一）前期研究与能力模型构建阶段</w:t>
      </w:r>
    </w:p>
    <w:p w14:paraId="21C9C47D">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本标准编制以“高职养老专业心理照护健康类人才能力模型构建”研究成果为基础。研究团队采用探索性序贯混合研究设计，面向京津冀地区行业专家、高职专业教师、养老机构管理者、一线照护实践者、服务对象及其家属等多主体开展深度访谈（有效样本40份）和问卷调查（有效样本460份），系统识别高职养老专业心理照护健康类人才的核心能力要素。</w:t>
      </w:r>
    </w:p>
    <w:p w14:paraId="3242695E">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通过归纳式内容分析，研究团队从访谈资料中提炼出职业认同与伦理责任、沟通共情与情绪识别、评估疏导记录与转介、家属沟通团队协作与智慧工具应用四大能力主题，在此基础上构建了由基础能力、专项能力、职业素养、综合能力四个维度和基础层、执行层、提升层三个发展层级共同构成的“四维三级”能力模型。</w:t>
      </w:r>
    </w:p>
    <w:p w14:paraId="031EE649">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（二）标准起草阶段</w:t>
      </w:r>
    </w:p>
    <w:p w14:paraId="59EF4ED7">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在能力模型研究成果基础上，标准起草组依据GB/T 1.1—2020《标准化工作导则 第1部分：标准化文件的结构和起草规则》的要求，将能力模型转化为可评价、可操作的标准条款。起草组围绕评价指标体系、评价实施规范、评价结果应用与动态管理等核心内容进行了系统设计，形成了标准草案。</w:t>
      </w:r>
    </w:p>
    <w:p w14:paraId="702EE16A">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（三）征求意见阶段</w:t>
      </w:r>
    </w:p>
    <w:p w14:paraId="2F9720A6">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［待补充：公开征求意见的时间、范围、反馈意见数量及主要意见处理情况］</w:t>
      </w:r>
    </w:p>
    <w:p w14:paraId="6738DAB9">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（四）预审阶段</w:t>
      </w:r>
    </w:p>
    <w:p w14:paraId="72346AA2">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［待补充：预审会组织单位、时间、主要会议内容、参加部门等］</w:t>
      </w:r>
    </w:p>
    <w:p w14:paraId="1DCC105E">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（五）审查阶段</w:t>
      </w:r>
    </w:p>
    <w:p w14:paraId="7E58AF24">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 xml:space="preserve">［待补充：审查会组织单位、时间、主要会议内容等］ </w:t>
      </w:r>
    </w:p>
    <w:p w14:paraId="2E44A582">
      <w:pPr>
        <w:numPr>
          <w:ilvl w:val="0"/>
          <w:numId w:val="2"/>
        </w:numPr>
        <w:ind w:left="0" w:leftChars="0" w:firstLine="640" w:firstLineChars="200"/>
        <w:rPr>
          <w:rFonts w:hint="eastAsia" w:ascii="黑体" w:hAnsi="黑体" w:eastAsia="黑体" w:cs="黑体"/>
          <w:color w:val="auto"/>
          <w:sz w:val="32"/>
          <w:lang w:val="en-US" w:eastAsia="zh-CN"/>
        </w:rPr>
      </w:pPr>
      <w:r>
        <w:rPr>
          <w:rFonts w:hint="eastAsia" w:ascii="黑体" w:hAnsi="黑体" w:eastAsia="黑体" w:cs="黑体"/>
          <w:color w:val="auto"/>
          <w:sz w:val="32"/>
          <w:lang w:val="en-US" w:eastAsia="zh-CN"/>
        </w:rPr>
        <w:t>制定标准的原则和依据，与现行法律、法规、标准的关系。</w:t>
      </w:r>
    </w:p>
    <w:p w14:paraId="6677F4C0">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（一）制定原则</w:t>
      </w:r>
    </w:p>
    <w:p w14:paraId="01CA84DF">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1. 科学性原则。 评价指标基于心理照护胜任力的理论框架和岗位实际需求构建，以胜任力模型理论为理论基础，将心理照护胜任力理解为知识、技能、态度和综合能力的有机整合。评价工具经过信度与效度检验，问卷总量表Cronbach's α系数均在0.97以上，具有良好的内部一致性。</w:t>
      </w:r>
    </w:p>
    <w:p w14:paraId="2A736128">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2. 需求导向原则。 标准立足积极应对人口老龄化国家战略和养老服务高质量发展要求，充分回应养老机构、社区居家养老、失智照护、医养结合和安宁疗护等多元服务场景对心理照护人才的现实需求。</w:t>
      </w:r>
    </w:p>
    <w:p w14:paraId="442ADEBE">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3. 可操作性原则。 评价指标具体明确、行为化、可观察、可测量，评价流程简便可行。每个评价要点采用5级评分制，便于各类评价主体实施。</w:t>
      </w:r>
    </w:p>
    <w:p w14:paraId="674C40CF">
      <w:pPr>
        <w:numPr>
          <w:ilvl w:val="0"/>
          <w:numId w:val="0"/>
        </w:numPr>
        <w:ind w:left="0" w:leftChars="0" w:firstLine="640" w:firstLineChars="200"/>
        <w:rPr>
          <w:rFonts w:hint="default"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4. 分层适配原则。 标准指标体系涵盖基础能力、专项能力、职业素养和综合能力四个维度</w:t>
      </w:r>
      <w:r>
        <w:rPr>
          <w:rFonts w:hint="eastAsia" w:ascii="仿宋_GB2312" w:eastAsia="仿宋_GB2312" w:cs="Times New Roman"/>
          <w:color w:val="auto"/>
          <w:sz w:val="32"/>
          <w:lang w:val="en-US" w:eastAsia="zh-CN"/>
        </w:rPr>
        <w:t>。</w:t>
      </w:r>
    </w:p>
    <w:p w14:paraId="57B7CF6B">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5. 多元参与原则。 评价主体涵盖专业教师、临床/行业导师、服务对象及其家属，各评价主体经过统一培训后实施评价。</w:t>
      </w:r>
    </w:p>
    <w:p w14:paraId="695A6E9B">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（二）制定依据</w:t>
      </w:r>
    </w:p>
    <w:p w14:paraId="1E824102">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本标准制定的法律法规和政策依据包括：</w:t>
      </w:r>
    </w:p>
    <w:p w14:paraId="7B9F15DD">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《中华人民共和国标准化法》</w:t>
      </w:r>
    </w:p>
    <w:p w14:paraId="02A3AF82">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《“健康中国2030”规划纲要》</w:t>
      </w:r>
    </w:p>
    <w:p w14:paraId="08F86B52">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《“十四五”健康老龄化规划》</w:t>
      </w:r>
    </w:p>
    <w:p w14:paraId="64209273">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《中共中央关于制定国民经济和社会发展第十五个五年规划的建议》</w:t>
      </w:r>
    </w:p>
    <w:p w14:paraId="64B3B53D">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GB/T 1.1—2020《标准化工作导则 第1部分：标准化文件的结构和起草规则》</w:t>
      </w:r>
    </w:p>
    <w:p w14:paraId="1BAF9D3A">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北京标准化协会《团体标准管理办法》</w:t>
      </w:r>
    </w:p>
    <w:p w14:paraId="4C1F2B9B">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（三）与现行法律、法规、标准的关系</w:t>
      </w:r>
    </w:p>
    <w:p w14:paraId="3224B3D0">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经检索，目前国内尚未发布老年健康服务类专业心理照护胜任力评价相关的国家标准和行业标准。与心理照护相关的现行标准主要有：</w:t>
      </w:r>
    </w:p>
    <w:p w14:paraId="5F28B077">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《养老机构心理照护服务基本规范》（T/BFA NPO007-2023） 。该标准主要规范养老机构心理照护服务的基本要求、人员要求、工作要求和环境设施设备要求，侧重于服务机构层面的服务规范。</w:t>
      </w:r>
    </w:p>
    <w:p w14:paraId="3210C313">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《老年心理照护员岗位技能规范》 。该标准明确了“老年心理照护员”的定义与职业边界，将其划分为基础级、进阶级、资深级三个等级，并规定了各等级的岗位职责、核心技能要求及考核标准。岗位技能要求覆盖沟通技巧等方面。</w:t>
      </w:r>
    </w:p>
    <w:p w14:paraId="3F4D99AC">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本标准与上述标准的区别与补充关系在于：</w:t>
      </w:r>
    </w:p>
    <w:p w14:paraId="1E29A3CD">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1.服务对象不同。 现有标准主要面向养老机构从业人员或在岗人员，本标准面向高等职业院校老年健康服务类专业在校学生的培养评价与考核，侧重教育端的人才培养质量评价。</w:t>
      </w:r>
    </w:p>
    <w:p w14:paraId="022BDCDB">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2.功能定位不同。 现有标准侧重于岗位技能要求和岗位规范，本标准侧重于胜任力的综合评价，涵盖知识、技能、态度和综合应用各层面，兼顾基础性能力与高阶能力。</w:t>
      </w:r>
    </w:p>
    <w:p w14:paraId="0AA440CB">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3.评价维度更系统。 本标准构建了涵盖基础能力、专项能力、职业素养、综合能力四个维度的完整评价指标体系，并明确了各指标的权重分配和评分标准，形成从诊断性评价到终结性评价的完整评价链条。</w:t>
      </w:r>
    </w:p>
    <w:p w14:paraId="6C499BEC">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4.与教育体系的衔接更紧密。 本标准特别适用于高职院校教学过程，明确将形成性评价与终结性评价相结合，每学期至少开展1次～2次形成性评价，每学年至少开展1次综合性能力评价。</w:t>
      </w:r>
    </w:p>
    <w:p w14:paraId="3CBF5804">
      <w:pPr>
        <w:numPr>
          <w:ilvl w:val="0"/>
          <w:numId w:val="0"/>
        </w:numPr>
        <w:ind w:left="0" w:leftChars="0"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综上，本标准在现有标准基础上，针对教育端老年健康服务类专业学生心理照护胜任力评价进行了系统化、精细化的补充和完善，与现行标准形成互补关系，不存在冲突。</w:t>
      </w:r>
    </w:p>
    <w:p w14:paraId="725CCA6A">
      <w:pPr>
        <w:numPr>
          <w:ilvl w:val="0"/>
          <w:numId w:val="0"/>
        </w:numPr>
        <w:ind w:firstLine="640" w:firstLineChars="200"/>
        <w:rPr>
          <w:rFonts w:hint="eastAsia" w:ascii="黑体" w:hAnsi="黑体" w:eastAsia="黑体" w:cs="黑体"/>
          <w:color w:val="auto"/>
          <w:sz w:val="32"/>
        </w:rPr>
      </w:pPr>
      <w:r>
        <w:rPr>
          <w:rFonts w:hint="eastAsia" w:ascii="黑体" w:hAnsi="黑体" w:eastAsia="黑体" w:cs="黑体"/>
          <w:color w:val="auto"/>
          <w:sz w:val="32"/>
          <w:lang w:val="en-US" w:eastAsia="zh-CN"/>
        </w:rPr>
        <w:t>五、</w:t>
      </w:r>
      <w:r>
        <w:rPr>
          <w:rFonts w:hint="eastAsia" w:ascii="黑体" w:hAnsi="黑体" w:eastAsia="黑体" w:cs="黑体"/>
          <w:color w:val="auto"/>
          <w:sz w:val="32"/>
        </w:rPr>
        <w:t>主要条款的说明，主要技术指标、参数、实验验证的论述。</w:t>
      </w:r>
    </w:p>
    <w:p w14:paraId="26C4B1F7">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（一）范围（第1章）</w:t>
      </w:r>
    </w:p>
    <w:p w14:paraId="3BA6F9E0">
      <w:pPr>
        <w:numPr>
          <w:ilvl w:val="0"/>
          <w:numId w:val="0"/>
        </w:numPr>
        <w:ind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本文件提供了老年健康服务类专业学生心理照护胜任力评价的总体原则、评价指标体系、评价实施、评价结果应用与动态管理等方面的建议。适用于高等职业院校老年健康服务类专业学生心理照护胜任力的评价，也可供养老服务机构和相关用人单位开展员工心理照护胜任力评价时参考使用。</w:t>
      </w:r>
    </w:p>
    <w:p w14:paraId="453C9B2D">
      <w:pPr>
        <w:numPr>
          <w:ilvl w:val="0"/>
          <w:numId w:val="0"/>
        </w:numPr>
        <w:ind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（二）术语和定义（第3章）</w:t>
      </w:r>
    </w:p>
    <w:p w14:paraId="2ABF70C5">
      <w:pPr>
        <w:numPr>
          <w:ilvl w:val="0"/>
          <w:numId w:val="0"/>
        </w:numPr>
        <w:ind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本章对三个核心术语进行了界定：</w:t>
      </w:r>
    </w:p>
    <w:p w14:paraId="0DBDEB80">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1.老年健康服务类专业。定义明确了面向老年人提供健康管理、生活照护、心理照护、康复辅助等服务的职业教育专业类别，包括</w:t>
      </w:r>
      <w:r>
        <w:rPr>
          <w:rFonts w:hint="eastAsia" w:ascii="仿宋_GB2312" w:eastAsia="仿宋_GB2312" w:cs="Times New Roman"/>
          <w:color w:val="auto"/>
          <w:sz w:val="32"/>
          <w:lang w:val="en-US" w:eastAsia="zh-CN"/>
        </w:rPr>
        <w:t>但不限于</w:t>
      </w:r>
      <w:r>
        <w:rPr>
          <w:rFonts w:hint="eastAsia" w:ascii="仿宋_GB2312" w:hAnsi="Times New Roman" w:eastAsia="仿宋_GB2312" w:cs="Times New Roman"/>
          <w:color w:val="auto"/>
          <w:sz w:val="32"/>
          <w:lang w:val="en-US" w:eastAsia="zh-CN"/>
        </w:rPr>
        <w:t>老年保健与管理、智慧健康养老服务与管理、护理（老年护理方向）、健康管理等专业。</w:t>
      </w:r>
    </w:p>
    <w:p w14:paraId="6046284A">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2. 心理照护。定义明确了以维护和促进老年人心理健康为目标，运用心理学及相关学科的理论与方法，为老年人提供心理评估、心理支持、情绪疏导、危机干预、认知促进、临终心理关怀等服务的专业行为。</w:t>
      </w:r>
    </w:p>
    <w:p w14:paraId="0D727285">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3. 心理照护胜任力。定义明确了心理照护胜任力是个体在老年健康服务岗位中有效完成心理照护任务所具备的知识、技能、态度和综合能力的有机整合。它可通过行为表现观察和评价，是综合性职业素养的体现。该定义借鉴了胜任力模型理论的核心要义。</w:t>
      </w:r>
    </w:p>
    <w:p w14:paraId="60274A61">
      <w:pPr>
        <w:numPr>
          <w:ilvl w:val="0"/>
          <w:numId w:val="0"/>
        </w:numPr>
        <w:ind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（三）</w:t>
      </w:r>
      <w:r>
        <w:rPr>
          <w:rFonts w:hint="eastAsia" w:ascii="仿宋_GB2312" w:eastAsia="仿宋_GB2312" w:cs="Times New Roman"/>
          <w:color w:val="auto"/>
          <w:sz w:val="32"/>
          <w:lang w:val="en-US" w:eastAsia="zh-CN"/>
        </w:rPr>
        <w:t>总体原则</w:t>
      </w:r>
      <w:r>
        <w:rPr>
          <w:rFonts w:hint="eastAsia" w:ascii="仿宋_GB2312" w:hAnsi="Times New Roman" w:eastAsia="仿宋_GB2312" w:cs="Times New Roman"/>
          <w:color w:val="auto"/>
          <w:sz w:val="32"/>
          <w:lang w:val="en-US" w:eastAsia="zh-CN"/>
        </w:rPr>
        <w:t>（第4章）</w:t>
      </w:r>
    </w:p>
    <w:p w14:paraId="509D0A13">
      <w:pPr>
        <w:numPr>
          <w:ilvl w:val="0"/>
          <w:numId w:val="0"/>
        </w:numPr>
        <w:ind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第4章明确了心理照护胜任力评价宜遵循的总体原则，包括目标导向原则、科学规范原则、动态发展原则。</w:t>
      </w:r>
    </w:p>
    <w:p w14:paraId="21EDAB99">
      <w:pPr>
        <w:numPr>
          <w:ilvl w:val="0"/>
          <w:numId w:val="0"/>
        </w:numPr>
        <w:ind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4.1 目标导向原则。评价以促进学生能力发展和满足岗位需求为导向，服务于教学改进、顶岗实习安排、毕业资格认定、用人单位人员选拔和在职培训、专业人才培养方案优化等目标。</w:t>
      </w:r>
    </w:p>
    <w:p w14:paraId="6F73A2FC">
      <w:pPr>
        <w:numPr>
          <w:ilvl w:val="0"/>
          <w:numId w:val="0"/>
        </w:numPr>
        <w:ind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4.2 科学规范原则。评价指标基于心理照护胜任力的理论框架和岗位实际需求，力求具体明确、行为化、可观察、可测量。评价工具宜经过信度与效度检验，评价内容覆盖知识、技能、态度和综合应用等层面。评价流程力求简便可行，评价标准保持统一明确，评价过程确保规范透明，评价结果确保客观公正。</w:t>
      </w:r>
    </w:p>
    <w:p w14:paraId="51B6F7D5">
      <w:pPr>
        <w:numPr>
          <w:ilvl w:val="0"/>
          <w:numId w:val="0"/>
        </w:numPr>
        <w:ind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4.3 动态发展原则。评价贯穿人才培养全过程，注重过程性评价与结果性评价相结合。评价数据系统记录、动态更新，形成学生个体的能力发展档案。建立由教育专家、行业专家、一线工作者等多元主体参与的动态管理机制。</w:t>
      </w:r>
    </w:p>
    <w:p w14:paraId="434C2EED">
      <w:pPr>
        <w:numPr>
          <w:ilvl w:val="0"/>
          <w:numId w:val="0"/>
        </w:numPr>
        <w:ind w:firstLine="640" w:firstLineChars="200"/>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（四）评价指标体系（第5章）</w:t>
      </w:r>
    </w:p>
    <w:p w14:paraId="6650A83D">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本章是标准的核心技术内容。</w:t>
      </w:r>
    </w:p>
    <w:p w14:paraId="25FFA7AA">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5.1 指标体系框架。评价指标体系以“心理照护胜任力模型”为理论框架，由4个一级指标（维度）、12个二级指标和若干三级指标（评价要点）构成。评价指标体系框架图见图1。</w:t>
      </w:r>
    </w:p>
    <w:p w14:paraId="6F700F5F">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5.2 基础能力维度。包含老年心理基础知识、基本沟通与观察能力、职业伦理与法律意识3个二级指标，共15个评价要点。</w:t>
      </w:r>
    </w:p>
    <w:p w14:paraId="2C41539C">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5.3 专项能力维度。包含心理评估与状态识别、心理支持与情绪疏导、心理危机识别与应对、特殊情境心理照护4个二级指标，共20个评价要点。</w:t>
      </w:r>
    </w:p>
    <w:p w14:paraId="65AED818">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5.4 职业素养维度。包含同理心与人文关怀、情绪管理与自我调适、职业认同与专业发展3个二级指标，共15个评价要点。</w:t>
      </w:r>
    </w:p>
    <w:p w14:paraId="2D9F8BA4">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5.5 综合能力维度。包含综合评估与团队协作、家属沟通与健康指导2个二级指标，共10个评价要点。</w:t>
      </w:r>
    </w:p>
    <w:p w14:paraId="31F726B6">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5.6 指标权重与分值计算。明确了各二级指标的分值分配（见表1），基础能力30分、专项能力40分、职业素养20分、综合能力10分，满分100分。每个评价要点采用5级评分制（5级100%、4级80%、3级60%、2级40%、1级20%），三级指标得分为单个三级指标分值与得分系数的乘积，二级指标得分为其下所有三级指标得分之和，一级指标得分为其下所有二级指标得分之和，综合评分为所有一级指标得分之和。5.6.3给出了分值计算示例。5.6.4明确了综合评分等级划分：优秀（90分及以上）、良好（80分～89分）、合格（60分～79分）、不合格（60分以下）。</w:t>
      </w:r>
    </w:p>
    <w:p w14:paraId="79814409">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（五）评价实施（第6章）</w:t>
      </w:r>
    </w:p>
    <w:p w14:paraId="1BD4C730">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6.1 评价主体。评价主体包括专业教师、临床/行业导师、服务对象及其家属；评价主体经过统一培训，熟悉评价指标和评价标准，掌握评价工具的使用方法。</w:t>
      </w:r>
    </w:p>
    <w:p w14:paraId="25286079">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6.2 评价方式。评价宜采用理论知识评价与技能操作评价相结合的方式。理论知识评价宜采用笔试、在线测试等方式；技能操作评价宜采用情境模拟及角色扮演等方式。</w:t>
      </w:r>
    </w:p>
    <w:p w14:paraId="4D940EF6">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6.3 评价工具。理论知识考核要点依据评价指标体系确定，试题数量及分值按表1中各指标的分值比例分配；技能操作评价按5.6规定的评分方法，逐项对评价指标体系中的三级指标进行评分，可使用附录A给出的打分表。</w:t>
      </w:r>
    </w:p>
    <w:p w14:paraId="5B0B1FEA">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6.4 评价伦理与信息保护。评价实施前宜取得知情同意；评价数据收集宜遵循最小必要原则，进行脱敏处理；涉及心理危机、临终、哀伤等敏感主题的情境模拟或角色扮演，宜进行伦理风险评估，必要时提交伦理审查，并在评价前后为参与学生提供心理准备说明和心理督导支持。</w:t>
      </w:r>
    </w:p>
    <w:p w14:paraId="141F3A8E">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（六）评价结果应用与动态管理（第7章）</w:t>
      </w:r>
    </w:p>
    <w:p w14:paraId="61616EA4">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7.1 评价结果的应用。评价数据用于课程设置和教学内容优化、记入学生能力发展档案、用人单位在职人员能力评估和分级管理。</w:t>
      </w:r>
    </w:p>
    <w:p w14:paraId="2159B47D">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7.2 动态管理机制。建立了由教育专家、行业专家、一线工作者等多元主体参与的评价指标动态修订机制。</w:t>
      </w:r>
    </w:p>
    <w:p w14:paraId="42E693FB">
      <w:pPr>
        <w:numPr>
          <w:ilvl w:val="0"/>
          <w:numId w:val="0"/>
        </w:numPr>
        <w:ind w:firstLine="640" w:firstLineChars="200"/>
        <w:rPr>
          <w:rFonts w:hint="eastAsia" w:ascii="黑体" w:hAnsi="黑体" w:eastAsia="黑体" w:cs="黑体"/>
          <w:color w:val="auto"/>
          <w:sz w:val="32"/>
        </w:rPr>
      </w:pPr>
      <w:r>
        <w:rPr>
          <w:rFonts w:hint="eastAsia" w:ascii="黑体" w:hAnsi="黑体" w:eastAsia="黑体" w:cs="黑体"/>
          <w:color w:val="auto"/>
          <w:sz w:val="32"/>
        </w:rPr>
        <w:t>六、重大意见分歧的处理依据和结果重大意见分歧的处理依据和结果。</w:t>
      </w:r>
    </w:p>
    <w:p w14:paraId="5258037B">
      <w:pPr>
        <w:numPr>
          <w:ilvl w:val="0"/>
          <w:numId w:val="0"/>
        </w:numPr>
        <w:ind w:firstLine="640" w:firstLineChars="200"/>
        <w:rPr>
          <w:rFonts w:hint="eastAsia" w:ascii="黑体" w:hAnsi="黑体" w:eastAsia="黑体" w:cs="黑体"/>
          <w:color w:val="auto"/>
          <w:sz w:val="32"/>
          <w:lang w:val="en-US" w:eastAsia="zh-CN"/>
        </w:rPr>
      </w:pPr>
      <w:r>
        <w:rPr>
          <w:rFonts w:hint="eastAsia" w:ascii="黑体" w:hAnsi="黑体" w:eastAsia="黑体" w:cs="黑体"/>
          <w:color w:val="auto"/>
          <w:sz w:val="32"/>
          <w:lang w:val="en-US" w:eastAsia="zh-CN"/>
        </w:rPr>
        <w:t>无</w:t>
      </w:r>
    </w:p>
    <w:p w14:paraId="307ADEFF">
      <w:pPr>
        <w:numPr>
          <w:ilvl w:val="0"/>
          <w:numId w:val="0"/>
        </w:numPr>
        <w:ind w:firstLine="640" w:firstLineChars="200"/>
        <w:rPr>
          <w:rFonts w:hint="eastAsia" w:ascii="黑体" w:hAnsi="黑体" w:eastAsia="黑体" w:cs="黑体"/>
          <w:color w:val="auto"/>
          <w:sz w:val="32"/>
        </w:rPr>
      </w:pPr>
      <w:r>
        <w:rPr>
          <w:rFonts w:hint="eastAsia" w:ascii="黑体" w:hAnsi="黑体" w:eastAsia="黑体" w:cs="黑体"/>
          <w:color w:val="auto"/>
          <w:sz w:val="32"/>
          <w:lang w:val="en-US" w:eastAsia="zh-CN"/>
        </w:rPr>
        <w:t>七、</w:t>
      </w:r>
      <w:r>
        <w:rPr>
          <w:rFonts w:hint="eastAsia" w:ascii="黑体" w:hAnsi="黑体" w:eastAsia="黑体" w:cs="黑体"/>
          <w:color w:val="auto"/>
          <w:sz w:val="32"/>
        </w:rPr>
        <w:t>与国内外同类标准水平的对比情况。</w:t>
      </w:r>
    </w:p>
    <w:p w14:paraId="4C2D3A86">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（一）国内同类标准对比</w:t>
      </w:r>
    </w:p>
    <w:p w14:paraId="0EED3EFC">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经检索，目前国内已发布的心理照护相关标准主要包括：</w:t>
      </w:r>
    </w:p>
    <w:p w14:paraId="24B408EE">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《养老机构心理照护服务基本规范》（T/BFA NPO007-2023） 。该标准侧重于养老机构心理照护服务的服务规范层面。</w:t>
      </w:r>
    </w:p>
    <w:p w14:paraId="1D35468B">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《老年心理照护员岗位技能规范》 。该标准侧重于老年心理照护员的岗位技能要求和等级划分。</w:t>
      </w:r>
    </w:p>
    <w:p w14:paraId="0130EAAF">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上述标准均未涉及教育端老年健康服务类专业学生心理照护胜任力的系统评价。本标准首次针对高等职业院校老年健康服务类专业学生，构建了涵盖基础能力、专项能力、职业素养和综合能力四个维度的心理照护胜任力评价指标体系，填补了国内教育端老年健康服务类专业心理照护胜任力评价领域的标准空白。</w:t>
      </w:r>
    </w:p>
    <w:p w14:paraId="71889503">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（二）先进性说明</w:t>
      </w:r>
    </w:p>
    <w:p w14:paraId="763ED86F">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1. 理论模型先进性。 本标准以胜任力模型理论为理论基础，评价指标体系基于京津冀地区460份有效问卷和40份深度访谈的多主体实证研究构建，经过严格的信效度检验（总量表Cronbach's α系数均在0.97以上），具有较强的科学性和实证基础。</w:t>
      </w:r>
    </w:p>
    <w:p w14:paraId="3D016417">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Times New Roman" w:eastAsia="仿宋_GB2312" w:cs="Times New Roman"/>
          <w:color w:val="auto"/>
          <w:sz w:val="32"/>
          <w:lang w:val="en-US" w:eastAsia="zh-CN"/>
        </w:rPr>
      </w:pPr>
      <w:r>
        <w:rPr>
          <w:rFonts w:hint="eastAsia" w:ascii="仿宋_GB2312" w:eastAsia="仿宋_GB2312" w:cs="Times New Roman"/>
          <w:color w:val="auto"/>
          <w:sz w:val="32"/>
          <w:lang w:val="en-US" w:eastAsia="zh-CN"/>
        </w:rPr>
        <w:t xml:space="preserve">2. </w:t>
      </w:r>
      <w:r>
        <w:rPr>
          <w:rFonts w:hint="eastAsia" w:ascii="仿宋_GB2312" w:hAnsi="Times New Roman" w:eastAsia="仿宋_GB2312" w:cs="Times New Roman"/>
          <w:color w:val="auto"/>
          <w:sz w:val="32"/>
          <w:lang w:val="en-US" w:eastAsia="zh-CN"/>
        </w:rPr>
        <w:t>评价体系系统性。本标准构建了由4个一级指标、12个二级指标和若干三级评价要点组成的评价体系，涵盖知识、技能、态度和综合应用等层面。</w:t>
      </w:r>
    </w:p>
    <w:p w14:paraId="68B7FE11">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Times New Roman" w:eastAsia="仿宋_GB2312" w:cs="Times New Roman"/>
          <w:color w:val="auto"/>
          <w:sz w:val="32"/>
          <w:lang w:val="en-US" w:eastAsia="zh-CN"/>
        </w:rPr>
      </w:pPr>
      <w:r>
        <w:rPr>
          <w:rFonts w:hint="eastAsia" w:ascii="仿宋_GB2312" w:eastAsia="仿宋_GB2312" w:cs="Times New Roman"/>
          <w:color w:val="auto"/>
          <w:sz w:val="32"/>
          <w:lang w:val="en-US" w:eastAsia="zh-CN"/>
        </w:rPr>
        <w:t xml:space="preserve">3. </w:t>
      </w:r>
      <w:r>
        <w:rPr>
          <w:rFonts w:hint="eastAsia" w:ascii="仿宋_GB2312" w:hAnsi="Times New Roman" w:eastAsia="仿宋_GB2312" w:cs="Times New Roman"/>
          <w:color w:val="auto"/>
          <w:sz w:val="32"/>
          <w:lang w:val="en-US" w:eastAsia="zh-CN"/>
        </w:rPr>
        <w:t>评价主体多元性。本标准明确了专业教师、临床/行业导师、服务对象及其家属等评价主体，实现了多元评价。</w:t>
      </w:r>
    </w:p>
    <w:p w14:paraId="7797FE2E">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Times New Roman" w:eastAsia="仿宋_GB2312" w:cs="Times New Roman"/>
          <w:color w:val="auto"/>
          <w:sz w:val="32"/>
          <w:lang w:val="en-US" w:eastAsia="zh-CN"/>
        </w:rPr>
      </w:pPr>
      <w:r>
        <w:rPr>
          <w:rFonts w:hint="eastAsia" w:ascii="仿宋_GB2312" w:eastAsia="仿宋_GB2312" w:cs="Times New Roman"/>
          <w:color w:val="auto"/>
          <w:sz w:val="32"/>
          <w:lang w:val="en-US" w:eastAsia="zh-CN"/>
        </w:rPr>
        <w:t xml:space="preserve">4. </w:t>
      </w:r>
      <w:r>
        <w:rPr>
          <w:rFonts w:hint="eastAsia" w:ascii="仿宋_GB2312" w:hAnsi="Times New Roman" w:eastAsia="仿宋_GB2312" w:cs="Times New Roman"/>
          <w:color w:val="auto"/>
          <w:sz w:val="32"/>
          <w:lang w:val="en-US" w:eastAsia="zh-CN"/>
        </w:rPr>
        <w:t>评价方式创新性。本标准将过程性评价与结果性评价相结合，引入情境模拟、角色扮演等评价方法，推动心理照护能力评价由知识考核转向岗位胜任评价。</w:t>
      </w:r>
    </w:p>
    <w:p w14:paraId="24AA4D73">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Times New Roman" w:eastAsia="仿宋_GB2312" w:cs="Times New Roman"/>
          <w:color w:val="auto"/>
          <w:sz w:val="32"/>
          <w:lang w:val="en-US" w:eastAsia="zh-CN"/>
        </w:rPr>
      </w:pPr>
      <w:r>
        <w:rPr>
          <w:rFonts w:hint="eastAsia" w:ascii="仿宋_GB2312" w:eastAsia="仿宋_GB2312" w:cs="Times New Roman"/>
          <w:color w:val="auto"/>
          <w:sz w:val="32"/>
          <w:lang w:val="en-US" w:eastAsia="zh-CN"/>
        </w:rPr>
        <w:t xml:space="preserve">5. </w:t>
      </w:r>
      <w:r>
        <w:rPr>
          <w:rFonts w:hint="eastAsia" w:ascii="仿宋_GB2312" w:hAnsi="Times New Roman" w:eastAsia="仿宋_GB2312" w:cs="Times New Roman"/>
          <w:color w:val="auto"/>
          <w:sz w:val="32"/>
          <w:lang w:val="en-US" w:eastAsia="zh-CN"/>
        </w:rPr>
        <w:t>填补领域空白。本标准是国内首个针对高等职业院校老年健康服务类专业学生心理照护胜任力评价的团体标准，填补了教育端老年心理照护人才能力评价领域的标准空白。</w:t>
      </w:r>
    </w:p>
    <w:p w14:paraId="71F3D165">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黑体" w:hAnsi="黑体" w:eastAsia="黑体" w:cs="黑体"/>
          <w:color w:val="auto"/>
          <w:sz w:val="32"/>
        </w:rPr>
      </w:pPr>
      <w:r>
        <w:rPr>
          <w:rFonts w:hint="eastAsia" w:ascii="黑体" w:hAnsi="黑体" w:eastAsia="黑体" w:cs="黑体"/>
          <w:color w:val="auto"/>
          <w:sz w:val="32"/>
          <w:lang w:val="en-US" w:eastAsia="zh-CN"/>
        </w:rPr>
        <w:t>八、</w:t>
      </w:r>
      <w:r>
        <w:rPr>
          <w:rFonts w:hint="eastAsia" w:ascii="黑体" w:hAnsi="黑体" w:eastAsia="黑体" w:cs="黑体"/>
          <w:color w:val="auto"/>
          <w:sz w:val="32"/>
        </w:rPr>
        <w:t>实施标准的措施(政策措施/宣贯培训/试点示范</w:t>
      </w:r>
      <w:r>
        <w:rPr>
          <w:rFonts w:hint="eastAsia" w:ascii="黑体" w:hAnsi="黑体" w:eastAsia="黑体" w:cs="黑体"/>
          <w:color w:val="auto"/>
          <w:sz w:val="32"/>
          <w:lang w:val="en-US" w:eastAsia="zh-CN"/>
        </w:rPr>
        <w:t>/</w:t>
      </w:r>
      <w:r>
        <w:rPr>
          <w:rFonts w:hint="eastAsia" w:ascii="黑体" w:hAnsi="黑体" w:eastAsia="黑体" w:cs="黑体"/>
          <w:color w:val="auto"/>
          <w:sz w:val="32"/>
          <w:lang w:eastAsia="zh-CN"/>
        </w:rPr>
        <w:t>监督检查</w:t>
      </w:r>
      <w:r>
        <w:rPr>
          <w:rFonts w:hint="eastAsia" w:ascii="黑体" w:hAnsi="黑体" w:eastAsia="黑体" w:cs="黑体"/>
          <w:color w:val="auto"/>
          <w:sz w:val="32"/>
        </w:rPr>
        <w:t>/配套资金等)。</w:t>
      </w:r>
    </w:p>
    <w:p w14:paraId="536AA183">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eastAsia="仿宋_GB2312"/>
          <w:color w:val="auto"/>
          <w:sz w:val="32"/>
          <w:lang w:val="en-US" w:eastAsia="zh-CN"/>
        </w:rPr>
      </w:pPr>
      <w:r>
        <w:rPr>
          <w:rFonts w:hint="eastAsia" w:ascii="仿宋_GB2312" w:eastAsia="仿宋_GB2312"/>
          <w:color w:val="auto"/>
          <w:sz w:val="32"/>
          <w:lang w:val="en-US" w:eastAsia="zh-CN"/>
        </w:rPr>
        <w:t>（一）宣贯培训</w:t>
      </w:r>
    </w:p>
    <w:p w14:paraId="225BB8A4">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eastAsia="仿宋_GB2312"/>
          <w:color w:val="auto"/>
          <w:sz w:val="32"/>
          <w:lang w:val="en-US" w:eastAsia="zh-CN"/>
        </w:rPr>
      </w:pPr>
      <w:r>
        <w:rPr>
          <w:rFonts w:hint="eastAsia" w:ascii="仿宋_GB2312" w:hAnsi="Times New Roman" w:eastAsia="仿宋_GB2312" w:cs="Times New Roman"/>
          <w:color w:val="auto"/>
          <w:sz w:val="32"/>
          <w:lang w:val="en-US" w:eastAsia="zh-CN"/>
        </w:rPr>
        <w:t xml:space="preserve">1. </w:t>
      </w:r>
      <w:r>
        <w:rPr>
          <w:rFonts w:hint="eastAsia" w:ascii="仿宋_GB2312" w:eastAsia="仿宋_GB2312"/>
          <w:color w:val="auto"/>
          <w:sz w:val="32"/>
          <w:lang w:val="en-US" w:eastAsia="zh-CN"/>
        </w:rPr>
        <w:t>标准发布后，由归口单位组织面向高等职业院校老年健康服务类</w:t>
      </w:r>
      <w:bookmarkStart w:id="0" w:name="_GoBack"/>
      <w:bookmarkEnd w:id="0"/>
      <w:r>
        <w:rPr>
          <w:rFonts w:hint="eastAsia" w:ascii="仿宋_GB2312" w:eastAsia="仿宋_GB2312"/>
          <w:color w:val="auto"/>
          <w:sz w:val="32"/>
          <w:lang w:val="en-US" w:eastAsia="zh-CN"/>
        </w:rPr>
        <w:t>专业教师、教学管理人员开展标准宣贯培训，确保标准使用者准确理解和掌握评价指标体系、评价实施规范和评分标准。</w:t>
      </w:r>
    </w:p>
    <w:p w14:paraId="7CDB6F06">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eastAsia="仿宋_GB2312"/>
          <w:color w:val="auto"/>
          <w:sz w:val="32"/>
          <w:lang w:val="en-US" w:eastAsia="zh-CN"/>
        </w:rPr>
      </w:pPr>
      <w:r>
        <w:rPr>
          <w:rFonts w:hint="eastAsia" w:ascii="仿宋_GB2312" w:eastAsia="仿宋_GB2312"/>
          <w:color w:val="auto"/>
          <w:sz w:val="32"/>
          <w:lang w:val="en-US" w:eastAsia="zh-CN"/>
        </w:rPr>
        <w:t>2. 编制标准实施指南和操作手册，包括评价工具使用说明、情境模拟案例库操作规范、评分标准解读等配套材料，便于各类评价主体规范实施。</w:t>
      </w:r>
    </w:p>
    <w:p w14:paraId="66E8F62F">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eastAsia="仿宋_GB2312"/>
          <w:color w:val="auto"/>
          <w:sz w:val="32"/>
          <w:lang w:val="en-US" w:eastAsia="zh-CN"/>
        </w:rPr>
      </w:pPr>
      <w:r>
        <w:rPr>
          <w:rFonts w:hint="eastAsia" w:ascii="仿宋_GB2312" w:eastAsia="仿宋_GB2312"/>
          <w:color w:val="auto"/>
          <w:sz w:val="32"/>
          <w:lang w:val="en-US" w:eastAsia="zh-CN"/>
        </w:rPr>
        <w:t>3. 对各评价主体（专业教师、临床/行业导师等）开展统一培训，确保评价人员熟悉评价指标和评价标准，掌握评价工具的使用方法。</w:t>
      </w:r>
    </w:p>
    <w:p w14:paraId="0BA6EF70">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eastAsia="仿宋_GB2312"/>
          <w:color w:val="auto"/>
          <w:sz w:val="32"/>
          <w:lang w:val="en-US" w:eastAsia="zh-CN"/>
        </w:rPr>
      </w:pPr>
      <w:r>
        <w:rPr>
          <w:rFonts w:hint="eastAsia" w:ascii="仿宋_GB2312" w:eastAsia="仿宋_GB2312"/>
          <w:color w:val="auto"/>
          <w:sz w:val="32"/>
          <w:lang w:val="en-US" w:eastAsia="zh-CN"/>
        </w:rPr>
        <w:t>（二）试点示范</w:t>
      </w:r>
    </w:p>
    <w:p w14:paraId="376F020C">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eastAsia="仿宋_GB2312"/>
          <w:color w:val="auto"/>
          <w:sz w:val="32"/>
          <w:lang w:val="en-US" w:eastAsia="zh-CN"/>
        </w:rPr>
      </w:pPr>
      <w:r>
        <w:rPr>
          <w:rFonts w:hint="eastAsia" w:ascii="仿宋_GB2312" w:hAnsi="Times New Roman" w:eastAsia="仿宋_GB2312" w:cs="Times New Roman"/>
          <w:color w:val="auto"/>
          <w:sz w:val="32"/>
          <w:lang w:val="en-US" w:eastAsia="zh-CN"/>
        </w:rPr>
        <w:t xml:space="preserve">1. </w:t>
      </w:r>
      <w:r>
        <w:rPr>
          <w:rFonts w:hint="eastAsia" w:ascii="仿宋_GB2312" w:eastAsia="仿宋_GB2312"/>
          <w:color w:val="auto"/>
          <w:sz w:val="32"/>
          <w:lang w:val="en-US" w:eastAsia="zh-CN"/>
        </w:rPr>
        <w:t>选择京津冀地区3～5所高等职业院校老年健康服务类相关专业开展标准试点应用，检验评价指标体系的可操作性和有效性。</w:t>
      </w:r>
    </w:p>
    <w:p w14:paraId="4CFAC264">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eastAsia="仿宋_GB2312"/>
          <w:color w:val="auto"/>
          <w:sz w:val="32"/>
          <w:lang w:val="en-US" w:eastAsia="zh-CN"/>
        </w:rPr>
      </w:pPr>
      <w:r>
        <w:rPr>
          <w:rFonts w:hint="eastAsia" w:ascii="仿宋_GB2312" w:eastAsia="仿宋_GB2312"/>
          <w:color w:val="auto"/>
          <w:sz w:val="32"/>
          <w:lang w:val="en-US" w:eastAsia="zh-CN"/>
        </w:rPr>
        <w:t>2. 在试点院校建立学生心理照护能力发展档案，系统记录评价数据，形成学生个体的能力发展轨迹。</w:t>
      </w:r>
    </w:p>
    <w:p w14:paraId="46C081AA">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eastAsia="仿宋_GB2312"/>
          <w:color w:val="auto"/>
          <w:sz w:val="32"/>
          <w:lang w:val="en-US" w:eastAsia="zh-CN"/>
        </w:rPr>
      </w:pPr>
      <w:r>
        <w:rPr>
          <w:rFonts w:hint="eastAsia" w:ascii="仿宋_GB2312" w:eastAsia="仿宋_GB2312"/>
          <w:color w:val="auto"/>
          <w:sz w:val="32"/>
          <w:lang w:val="en-US" w:eastAsia="zh-CN"/>
        </w:rPr>
        <w:t>3. 总结试点经验，形成可复制、可推广的实施模式，逐步扩大标准应用范围。</w:t>
      </w:r>
    </w:p>
    <w:p w14:paraId="322AF06C">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eastAsia="仿宋_GB2312"/>
          <w:color w:val="auto"/>
          <w:sz w:val="32"/>
          <w:lang w:val="en-US" w:eastAsia="zh-CN"/>
        </w:rPr>
      </w:pPr>
      <w:r>
        <w:rPr>
          <w:rFonts w:hint="eastAsia" w:ascii="仿宋_GB2312" w:eastAsia="仿宋_GB2312"/>
          <w:color w:val="auto"/>
          <w:sz w:val="32"/>
          <w:lang w:val="en-US" w:eastAsia="zh-CN"/>
        </w:rPr>
        <w:t>（三）监督检查</w:t>
      </w:r>
    </w:p>
    <w:p w14:paraId="7ADFB096">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eastAsia="仿宋_GB2312"/>
          <w:color w:val="auto"/>
          <w:sz w:val="32"/>
          <w:lang w:val="en-US" w:eastAsia="zh-CN"/>
        </w:rPr>
      </w:pPr>
      <w:r>
        <w:rPr>
          <w:rFonts w:hint="eastAsia" w:ascii="仿宋_GB2312" w:hAnsi="Times New Roman" w:eastAsia="仿宋_GB2312" w:cs="Times New Roman"/>
          <w:color w:val="auto"/>
          <w:sz w:val="32"/>
          <w:lang w:val="en-US" w:eastAsia="zh-CN"/>
        </w:rPr>
        <w:t xml:space="preserve">1. </w:t>
      </w:r>
      <w:r>
        <w:rPr>
          <w:rFonts w:hint="eastAsia" w:ascii="仿宋_GB2312" w:eastAsia="仿宋_GB2312"/>
          <w:color w:val="auto"/>
          <w:sz w:val="32"/>
          <w:lang w:val="en-US" w:eastAsia="zh-CN"/>
        </w:rPr>
        <w:t>建立由教育专家、行业专家、一线工作者、学生代表等多元主体参与的动态管理机制。</w:t>
      </w:r>
    </w:p>
    <w:p w14:paraId="311BE561">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eastAsia="仿宋_GB2312"/>
          <w:color w:val="auto"/>
          <w:sz w:val="32"/>
          <w:lang w:val="en-US" w:eastAsia="zh-CN"/>
        </w:rPr>
      </w:pPr>
      <w:r>
        <w:rPr>
          <w:rFonts w:hint="eastAsia" w:ascii="仿宋_GB2312" w:eastAsia="仿宋_GB2312"/>
          <w:color w:val="auto"/>
          <w:sz w:val="32"/>
          <w:lang w:val="en-US" w:eastAsia="zh-CN"/>
        </w:rPr>
        <w:t>2. 定期收集院校教学反馈、企业岗位反馈和评价实践反馈，对标准实施效果进行跟踪评估。</w:t>
      </w:r>
    </w:p>
    <w:p w14:paraId="3573E718">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eastAsia="仿宋_GB2312"/>
          <w:color w:val="auto"/>
          <w:sz w:val="32"/>
          <w:lang w:val="en-US" w:eastAsia="zh-CN"/>
        </w:rPr>
      </w:pPr>
      <w:r>
        <w:rPr>
          <w:rFonts w:hint="eastAsia" w:ascii="仿宋_GB2312" w:eastAsia="仿宋_GB2312"/>
          <w:color w:val="auto"/>
          <w:sz w:val="32"/>
          <w:lang w:val="en-US" w:eastAsia="zh-CN"/>
        </w:rPr>
        <w:t>3. 根据行业发展趋势、岗位需求变化、政策法规更新和评价实践反馈，及时修订评价指标和标准。</w:t>
      </w:r>
    </w:p>
    <w:p w14:paraId="2D29F24D">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eastAsia="仿宋_GB2312"/>
          <w:color w:val="auto"/>
          <w:sz w:val="32"/>
          <w:lang w:val="en-US" w:eastAsia="zh-CN"/>
        </w:rPr>
      </w:pPr>
      <w:r>
        <w:rPr>
          <w:rFonts w:hint="eastAsia" w:ascii="仿宋_GB2312" w:eastAsia="仿宋_GB2312"/>
          <w:color w:val="auto"/>
          <w:sz w:val="32"/>
          <w:lang w:val="en-US" w:eastAsia="zh-CN"/>
        </w:rPr>
        <w:t>（四）配套资金与政策支持</w:t>
      </w:r>
    </w:p>
    <w:p w14:paraId="4F0A6FA3">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eastAsia="仿宋_GB2312"/>
          <w:color w:val="auto"/>
          <w:sz w:val="32"/>
          <w:lang w:val="en-US" w:eastAsia="zh-CN"/>
        </w:rPr>
      </w:pPr>
      <w:r>
        <w:rPr>
          <w:rFonts w:hint="eastAsia" w:ascii="仿宋_GB2312" w:hAnsi="Times New Roman" w:eastAsia="仿宋_GB2312" w:cs="Times New Roman"/>
          <w:color w:val="auto"/>
          <w:sz w:val="32"/>
          <w:lang w:val="en-US" w:eastAsia="zh-CN"/>
        </w:rPr>
        <w:t xml:space="preserve">1. </w:t>
      </w:r>
      <w:r>
        <w:rPr>
          <w:rFonts w:hint="eastAsia" w:ascii="仿宋_GB2312" w:eastAsia="仿宋_GB2312"/>
          <w:color w:val="auto"/>
          <w:sz w:val="32"/>
          <w:lang w:val="en-US" w:eastAsia="zh-CN"/>
        </w:rPr>
        <w:t>争取教育部门和民政部门的政策支持，将心理照护胜任力评价纳入高职院校相关专业人才培养质量评价体系。</w:t>
      </w:r>
    </w:p>
    <w:p w14:paraId="6DA689B3">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eastAsia="仿宋_GB2312"/>
          <w:color w:val="auto"/>
          <w:sz w:val="32"/>
          <w:lang w:val="en-US" w:eastAsia="zh-CN"/>
        </w:rPr>
      </w:pPr>
      <w:r>
        <w:rPr>
          <w:rFonts w:hint="eastAsia" w:ascii="仿宋_GB2312" w:hAnsi="Times New Roman" w:eastAsia="仿宋_GB2312" w:cs="Times New Roman"/>
          <w:color w:val="auto"/>
          <w:sz w:val="32"/>
          <w:lang w:val="en-US" w:eastAsia="zh-CN"/>
        </w:rPr>
        <w:t xml:space="preserve">2. </w:t>
      </w:r>
      <w:r>
        <w:rPr>
          <w:rFonts w:hint="eastAsia" w:ascii="仿宋_GB2312" w:eastAsia="仿宋_GB2312"/>
          <w:color w:val="auto"/>
          <w:sz w:val="32"/>
          <w:lang w:val="en-US" w:eastAsia="zh-CN"/>
        </w:rPr>
        <w:t>推动将本标准评价结果作为顶岗实习安排、毕业资格认定的参考依据，增强标准的应用约束力。</w:t>
      </w:r>
    </w:p>
    <w:p w14:paraId="4A5820AE">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eastAsia="仿宋_GB2312"/>
          <w:color w:val="auto"/>
          <w:sz w:val="32"/>
          <w:lang w:val="en-US" w:eastAsia="zh-CN"/>
        </w:rPr>
      </w:pPr>
      <w:r>
        <w:rPr>
          <w:rFonts w:hint="eastAsia" w:ascii="仿宋_GB2312" w:hAnsi="Times New Roman" w:eastAsia="仿宋_GB2312" w:cs="Times New Roman"/>
          <w:color w:val="auto"/>
          <w:sz w:val="32"/>
          <w:lang w:val="en-US" w:eastAsia="zh-CN"/>
        </w:rPr>
        <w:t xml:space="preserve">3. </w:t>
      </w:r>
      <w:r>
        <w:rPr>
          <w:rFonts w:hint="eastAsia" w:ascii="仿宋_GB2312" w:eastAsia="仿宋_GB2312"/>
          <w:color w:val="auto"/>
          <w:sz w:val="32"/>
          <w:lang w:val="en-US" w:eastAsia="zh-CN"/>
        </w:rPr>
        <w:t>鼓励用人单位参照本标准的评价指标体系开展在职人员的心理照护能力评估和分级管理，促进标准在行业端的推广应用。</w:t>
      </w:r>
    </w:p>
    <w:p w14:paraId="7827884C">
      <w:pPr>
        <w:numPr>
          <w:ilvl w:val="0"/>
          <w:numId w:val="3"/>
        </w:numPr>
        <w:ind w:firstLine="640" w:firstLineChars="200"/>
        <w:rPr>
          <w:rFonts w:hint="eastAsia" w:ascii="黑体" w:hAnsi="黑体" w:eastAsia="黑体" w:cs="黑体"/>
          <w:color w:val="auto"/>
          <w:sz w:val="32"/>
        </w:rPr>
      </w:pPr>
      <w:r>
        <w:rPr>
          <w:rFonts w:hint="eastAsia" w:ascii="黑体" w:hAnsi="黑体" w:eastAsia="黑体" w:cs="黑体"/>
          <w:color w:val="auto"/>
          <w:sz w:val="32"/>
        </w:rPr>
        <w:t>其他应说明的事项。</w:t>
      </w:r>
    </w:p>
    <w:p w14:paraId="7ED378F9">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（一）知识产权声明</w:t>
      </w:r>
    </w:p>
    <w:p w14:paraId="4366E99B">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本文件不涉及专利。</w:t>
      </w:r>
    </w:p>
    <w:p w14:paraId="3DB907C2">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（二）独家垄断声明</w:t>
      </w:r>
    </w:p>
    <w:p w14:paraId="757B7084">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本标准不涉及独家垄断情况。</w:t>
      </w:r>
    </w:p>
    <w:p w14:paraId="6068101B">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（三）其他</w:t>
      </w:r>
    </w:p>
    <w:p w14:paraId="1EA825EE">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Times New Roman" w:eastAsia="仿宋_GB2312" w:cs="Times New Roman"/>
          <w:color w:val="auto"/>
          <w:sz w:val="32"/>
          <w:lang w:val="en-US" w:eastAsia="zh-CN"/>
        </w:rPr>
      </w:pPr>
      <w:r>
        <w:rPr>
          <w:rFonts w:hint="eastAsia" w:ascii="仿宋_GB2312" w:hAnsi="Times New Roman" w:eastAsia="仿宋_GB2312" w:cs="Times New Roman"/>
          <w:color w:val="auto"/>
          <w:sz w:val="32"/>
          <w:lang w:val="en-US" w:eastAsia="zh-CN"/>
        </w:rPr>
        <w:t>本文件为首次制定。在标准实施过程中，欢迎各有关单位和个人提出宝贵意见和建议，以便后续修订时参考。</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仿宋">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Segoe UI">
    <w:panose1 w:val="020B0502040204020203"/>
    <w:charset w:val="00"/>
    <w:family w:val="auto"/>
    <w:pitch w:val="default"/>
    <w:sig w:usb0="E4002EFF" w:usb1="C000E47F"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9BF48">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57753BB">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757753BB">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C20950"/>
    <w:multiLevelType w:val="multilevel"/>
    <w:tmpl w:val="36C20950"/>
    <w:lvl w:ilvl="0" w:tentative="0">
      <w:start w:val="1"/>
      <w:numFmt w:val="none"/>
      <w:suff w:val="nothing"/>
      <w:lvlText w:val="%1"/>
      <w:lvlJc w:val="left"/>
      <w:pPr>
        <w:ind w:left="0" w:firstLine="0"/>
      </w:pPr>
      <w:rPr>
        <w:rFonts w:hint="eastAsia"/>
      </w:rPr>
    </w:lvl>
    <w:lvl w:ilvl="1" w:tentative="0">
      <w:start w:val="1"/>
      <w:numFmt w:val="decimal"/>
      <w:pStyle w:val="12"/>
      <w:suff w:val="nothing"/>
      <w:lvlText w:val="%1%2　"/>
      <w:lvlJc w:val="left"/>
      <w:pPr>
        <w:ind w:left="709" w:firstLine="0"/>
      </w:pPr>
      <w:rPr>
        <w:rFonts w:hint="eastAsia" w:ascii="黑体" w:eastAsia="黑体"/>
        <w:b w:val="0"/>
        <w:i w:val="0"/>
        <w:sz w:val="21"/>
      </w:rPr>
    </w:lvl>
    <w:lvl w:ilvl="2" w:tentative="0">
      <w:start w:val="1"/>
      <w:numFmt w:val="decimal"/>
      <w:pStyle w:val="11"/>
      <w:suff w:val="nothing"/>
      <w:lvlText w:val="%1%2.%3　"/>
      <w:lvlJc w:val="left"/>
      <w:pPr>
        <w:ind w:left="3686"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suff w:val="nothing"/>
      <w:lvlText w:val="%1%2.%3.%4　"/>
      <w:lvlJc w:val="left"/>
      <w:pPr>
        <w:ind w:left="1985"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3C1E40A6"/>
    <w:multiLevelType w:val="singleLevel"/>
    <w:tmpl w:val="3C1E40A6"/>
    <w:lvl w:ilvl="0" w:tentative="0">
      <w:start w:val="9"/>
      <w:numFmt w:val="chineseCounting"/>
      <w:suff w:val="nothing"/>
      <w:lvlText w:val="%1、"/>
      <w:lvlJc w:val="left"/>
      <w:rPr>
        <w:rFonts w:hint="eastAsia"/>
      </w:rPr>
    </w:lvl>
  </w:abstractNum>
  <w:abstractNum w:abstractNumId="2">
    <w:nsid w:val="6ED42E76"/>
    <w:multiLevelType w:val="singleLevel"/>
    <w:tmpl w:val="6ED42E76"/>
    <w:lvl w:ilvl="0" w:tentative="0">
      <w:start w:val="4"/>
      <w:numFmt w:val="chineseCounting"/>
      <w:suff w:val="space"/>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7E5C20"/>
    <w:rsid w:val="018F6A3E"/>
    <w:rsid w:val="11D1474A"/>
    <w:rsid w:val="1366238E"/>
    <w:rsid w:val="19EC507C"/>
    <w:rsid w:val="29C739A3"/>
    <w:rsid w:val="2AB021AF"/>
    <w:rsid w:val="3CBA0719"/>
    <w:rsid w:val="42F71AD2"/>
    <w:rsid w:val="4A716BD1"/>
    <w:rsid w:val="514F3E5B"/>
    <w:rsid w:val="592B21C3"/>
    <w:rsid w:val="5C481799"/>
    <w:rsid w:val="5DAD5125"/>
    <w:rsid w:val="620F1E56"/>
    <w:rsid w:val="65E63B9C"/>
    <w:rsid w:val="67E606BE"/>
    <w:rsid w:val="69174A19"/>
    <w:rsid w:val="707E5C20"/>
    <w:rsid w:val="74DB265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rFonts w:ascii="Times New Roman" w:hAnsi="Times New Roman"/>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9">
    <w:name w:val="标准文件_术语条一"/>
    <w:basedOn w:val="10"/>
    <w:next w:val="13"/>
    <w:qFormat/>
    <w:uiPriority w:val="0"/>
  </w:style>
  <w:style w:type="paragraph" w:customStyle="1" w:styleId="10">
    <w:name w:val="标准文件_一级无标题"/>
    <w:basedOn w:val="11"/>
    <w:qFormat/>
    <w:uiPriority w:val="0"/>
    <w:pPr>
      <w:spacing w:before="0" w:beforeLines="0" w:after="0" w:afterLines="0"/>
      <w:outlineLvl w:val="9"/>
    </w:pPr>
    <w:rPr>
      <w:rFonts w:ascii="宋体" w:eastAsia="宋体"/>
    </w:rPr>
  </w:style>
  <w:style w:type="paragraph" w:customStyle="1" w:styleId="11">
    <w:name w:val="标准文件_一级条标题"/>
    <w:basedOn w:val="12"/>
    <w:next w:val="13"/>
    <w:qFormat/>
    <w:uiPriority w:val="0"/>
    <w:pPr>
      <w:numPr>
        <w:ilvl w:val="2"/>
      </w:numPr>
      <w:spacing w:before="50" w:beforeLines="50" w:after="50" w:afterLines="50"/>
      <w:outlineLvl w:val="1"/>
    </w:pPr>
  </w:style>
  <w:style w:type="paragraph" w:customStyle="1" w:styleId="12">
    <w:name w:val="标准文件_章标题"/>
    <w:next w:val="13"/>
    <w:qFormat/>
    <w:uiPriority w:val="0"/>
    <w:pPr>
      <w:numPr>
        <w:ilvl w:val="1"/>
        <w:numId w:val="1"/>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3">
    <w:name w:val="标准文件_段"/>
    <w:qFormat/>
    <w:uiPriority w:val="0"/>
    <w:pPr>
      <w:autoSpaceDE w:val="0"/>
      <w:autoSpaceDN w:val="0"/>
      <w:ind w:firstLine="200" w:firstLineChars="200"/>
      <w:jc w:val="both"/>
    </w:pPr>
    <w:rPr>
      <w:rFonts w:ascii="Times New Roman"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6753</Words>
  <Characters>6927</Characters>
  <Lines>0</Lines>
  <Paragraphs>0</Paragraphs>
  <TotalTime>6</TotalTime>
  <ScaleCrop>false</ScaleCrop>
  <LinksUpToDate>false</LinksUpToDate>
  <CharactersWithSpaces>6997</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2020-06-03T07:17:00Z</dcterms:created>
  <dc:creator>windowns</dc:creator>
  <cp:lastModifiedBy>曹迎凤</cp:lastModifiedBy>
  <dcterms:modified xsi:type="dcterms:W3CDTF">2026-10-14T14:38:10Z</dcterms:modified>
  <dc:title>《XXXX》北京市地方标准编制说明</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576F4C9473CC452C9984C063325C94C3_13</vt:lpwstr>
  </property>
  <property fmtid="{D5CDD505-2E9C-101B-9397-08002B2CF9AE}" pid="4" name="KSOTemplateDocerSaveRecord">
    <vt:lpwstr>eyJoZGlkIjoiMzEwNTM5NzYwMDRjMzkwZTVkZjY2ODkwMGIxNGU0OTUiLCJ1c2VySWQiOiI0MTkzNDU0MzQifQ==</vt:lpwstr>
  </property>
</Properties>
</file>