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B5F0A">
      <w:pPr>
        <w:pStyle w:val="136"/>
        <w:framePr w:wrap="around"/>
        <w:rPr>
          <w:rFonts w:hint="default" w:hAnsi="黑体" w:eastAsia="黑体"/>
          <w:lang w:val="en-US" w:eastAsia="zh-CN"/>
        </w:rPr>
      </w:pPr>
      <w:r>
        <w:rPr>
          <w:rFonts w:hAnsi="黑体"/>
        </w:rPr>
        <w:t>ICS</w:t>
      </w:r>
      <w:r>
        <w:rPr>
          <w:rFonts w:hint="eastAsia" w:hAnsi="黑体"/>
        </w:rPr>
        <w:t xml:space="preserve"> </w:t>
      </w:r>
      <w:r>
        <w:rPr>
          <w:rFonts w:hAnsi="黑体"/>
        </w:rPr>
        <w:t> </w:t>
      </w:r>
      <w:r>
        <w:rPr>
          <w:rFonts w:hint="eastAsia" w:hAnsi="黑体"/>
          <w:lang w:val="en-US" w:eastAsia="zh-CN"/>
        </w:rPr>
        <w:t>03.080.99</w:t>
      </w:r>
    </w:p>
    <w:p w14:paraId="3A19D5A7">
      <w:pPr>
        <w:pStyle w:val="136"/>
        <w:framePr w:wrap="around"/>
        <w:rPr>
          <w:rFonts w:hint="default" w:hAnsi="黑体" w:eastAsia="黑体"/>
          <w:lang w:val="en-US" w:eastAsia="zh-CN"/>
        </w:rPr>
      </w:pPr>
      <w:r>
        <w:rPr>
          <w:rFonts w:hAnsi="黑体"/>
        </w:rPr>
        <w:t xml:space="preserve">CCS </w:t>
      </w:r>
      <w:r>
        <w:rPr>
          <w:rFonts w:hint="eastAsia" w:hAnsi="黑体"/>
          <w:lang w:val="en-US" w:eastAsia="zh-CN"/>
        </w:rPr>
        <w:t>A16</w:t>
      </w:r>
    </w:p>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21"/>
      </w:tblGrid>
      <w:tr w14:paraId="34275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8" w:type="dxa"/>
            <w:tcBorders>
              <w:top w:val="nil"/>
              <w:left w:val="nil"/>
              <w:bottom w:val="nil"/>
              <w:right w:val="nil"/>
            </w:tcBorders>
          </w:tcPr>
          <w:p w14:paraId="0C264B67">
            <w:pPr>
              <w:pStyle w:val="136"/>
              <w:framePr w:wrap="around"/>
            </w:pPr>
          </w:p>
        </w:tc>
      </w:tr>
    </w:tbl>
    <w:p w14:paraId="64878F83">
      <w:pPr>
        <w:pStyle w:val="80"/>
        <w:framePr w:wrap="around"/>
        <w:rPr>
          <w:rFonts w:hint="eastAsia" w:hAnsi="黑体"/>
        </w:rPr>
      </w:pPr>
      <w:bookmarkStart w:id="0" w:name="_Hlk46753871"/>
      <w:r>
        <w:rPr>
          <w:rFonts w:hAnsi="黑体"/>
        </w:rPr>
        <w:t>T/</w:t>
      </w:r>
      <w:r>
        <w:rPr>
          <w:rFonts w:hint="eastAsia" w:hAnsi="黑体"/>
        </w:rPr>
        <w:t>BAS</w:t>
      </w:r>
      <w:r>
        <w:rPr>
          <w:rFonts w:hAnsi="黑体"/>
        </w:rPr>
        <w:t xml:space="preserve"> </w:t>
      </w:r>
      <w:r>
        <w:rPr>
          <w:rFonts w:hint="eastAsia" w:hAnsi="黑体"/>
        </w:rPr>
        <w:t>XXX</w:t>
      </w:r>
      <w:r>
        <w:rPr>
          <w:rFonts w:hAnsi="黑体"/>
        </w:rPr>
        <w:t>-</w:t>
      </w:r>
      <w:r>
        <w:rPr>
          <w:rFonts w:hint="eastAsia" w:hAnsi="黑体"/>
        </w:rPr>
        <w:t>XXXX</w:t>
      </w:r>
    </w:p>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30"/>
      </w:tblGrid>
      <w:tr w14:paraId="7C1A2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30" w:type="dxa"/>
            <w:tcBorders>
              <w:top w:val="nil"/>
              <w:left w:val="nil"/>
              <w:bottom w:val="nil"/>
              <w:right w:val="nil"/>
            </w:tcBorders>
          </w:tcPr>
          <w:p w14:paraId="3F996DE8">
            <w:pPr>
              <w:pStyle w:val="102"/>
              <w:framePr w:wrap="around"/>
            </w:pPr>
            <w:r>
              <mc:AlternateContent>
                <mc:Choice Requires="wps">
                  <w:drawing>
                    <wp:anchor distT="0" distB="0" distL="114300" distR="114300" simplePos="0" relativeHeight="251663360" behindDoc="1" locked="0" layoutInCell="1" allowOverlap="1">
                      <wp:simplePos x="0" y="0"/>
                      <wp:positionH relativeFrom="column">
                        <wp:posOffset>4665980</wp:posOffset>
                      </wp:positionH>
                      <wp:positionV relativeFrom="paragraph">
                        <wp:posOffset>34290</wp:posOffset>
                      </wp:positionV>
                      <wp:extent cx="1143000" cy="228600"/>
                      <wp:effectExtent l="0" t="0" r="0" b="0"/>
                      <wp:wrapNone/>
                      <wp:docPr id="5"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DT" o:spid="_x0000_s1026" o:spt="1" style="position:absolute;left:0pt;margin-left:367.4pt;margin-top:2.7pt;height:18pt;width:90pt;z-index:-251653120;v-text-anchor:middle;mso-width-relative:page;mso-height-relative:page;" fillcolor="#FFFFFF" filled="t" stroked="f" coordsize="21600,21600" o:gfxdata="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xZ7k/9MAAAAIAQAADwAAAAAA&#10;AAABACAAAAAiAAAAZHJzL2Rvd25yZXYueG1sUEsBAhQAFAAAAAgAh07iQGWS4spRAgAAvAQAAA4A&#10;AAAAAAAAAQAgAAAAIgEAAGRycy9lMm9Eb2MueG1sUEsFBgAAAAAGAAYAWQEAAOUFAAAAAA==&#10;">
                      <v:fill on="t" focussize="0,0"/>
                      <v:stroke on="f" weight="2pt"/>
                      <v:imagedata o:title=""/>
                      <o:lock v:ext="edit" aspectratio="f"/>
                    </v:rect>
                  </w:pict>
                </mc:Fallback>
              </mc:AlternateContent>
            </w:r>
          </w:p>
        </w:tc>
      </w:tr>
    </w:tbl>
    <w:p w14:paraId="11F89202">
      <w:pPr>
        <w:pStyle w:val="80"/>
        <w:framePr w:wrap="around"/>
        <w:rPr>
          <w:rFonts w:hint="eastAsia" w:hAnsi="黑体"/>
        </w:rPr>
      </w:pPr>
    </w:p>
    <w:p w14:paraId="0806227C">
      <w:pPr>
        <w:pStyle w:val="80"/>
        <w:framePr w:wrap="around"/>
        <w:rPr>
          <w:rFonts w:hint="eastAsia" w:hAnsi="黑体"/>
        </w:rPr>
      </w:pPr>
    </w:p>
    <w:bookmarkEnd w:id="0"/>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29"/>
      </w:tblGrid>
      <w:tr w14:paraId="3BB59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tcPr>
          <w:p w14:paraId="6E6594A9">
            <w:pPr>
              <w:pStyle w:val="55"/>
              <w:framePr w:wrap="around"/>
              <w:rPr>
                <w:szCs w:val="18"/>
              </w:rPr>
            </w:pPr>
            <w:r>
              <w:rPr>
                <w:rFonts w:hint="eastAsia"/>
                <w:szCs w:val="18"/>
              </w:rPr>
              <w:t>老年健康服务类专业心理照护胜任力评价指南</w:t>
            </w:r>
          </w:p>
          <w:p w14:paraId="4A04F847">
            <w:pPr>
              <w:pStyle w:val="52"/>
              <w:framePr w:wrap="around"/>
              <w:rPr>
                <w:rFonts w:hint="eastAsia" w:ascii="黑体" w:hAnsi="黑体" w:eastAsia="黑体"/>
              </w:rPr>
            </w:pPr>
            <w:r>
              <w:rPr>
                <w:rFonts w:hint="eastAsia" w:ascii="黑体" w:hAnsi="黑体" w:eastAsia="黑体" w:cs="黑体"/>
                <w:b w:val="0"/>
                <w:bCs w:val="0"/>
                <w:color w:val="0F1115"/>
                <w:sz w:val="28"/>
                <w:szCs w:val="28"/>
                <w:shd w:val="clear" w:color="auto" w:fill="FFFFFF"/>
              </w:rPr>
              <w:t>Guidelines for the Evaluation of Psychological Care Competence of Geriatric Health Service Majors</w:t>
            </w:r>
          </w:p>
        </w:tc>
      </w:tr>
      <w:tr w14:paraId="6D7CA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tcPr>
          <w:p w14:paraId="3F710294">
            <w:pPr>
              <w:pStyle w:val="104"/>
              <w:framePr w:wrap="around"/>
            </w:pPr>
            <w:r>
              <w:rPr>
                <w:rFonts w:hint="eastAsia"/>
              </w:rPr>
              <w:t>（</w:t>
            </w:r>
            <w:r>
              <w:rPr>
                <w:rFonts w:hint="eastAsia"/>
                <w:lang w:val="en-US" w:eastAsia="zh-CN"/>
              </w:rPr>
              <w:t>征求意见稿</w:t>
            </w:r>
            <w:r>
              <w:rPr>
                <w:rFonts w:hint="eastAsia"/>
              </w:rPr>
              <w:t>）</w:t>
            </w:r>
          </w:p>
        </w:tc>
      </w:tr>
    </w:tbl>
    <w:p w14:paraId="6347C992">
      <w:pPr>
        <w:pStyle w:val="142"/>
        <w:framePr w:wrap="around"/>
      </w:pPr>
      <w:r>
        <w:rPr>
          <w:rFonts w:hint="eastAsia" w:ascii="黑体"/>
        </w:rPr>
        <w:t>XXXX</w:t>
      </w:r>
      <w:r>
        <w:rPr>
          <w:rFonts w:ascii="黑体"/>
        </w:rPr>
        <w:t>-</w:t>
      </w:r>
      <w:r>
        <w:rPr>
          <w:rFonts w:hint="eastAsia" w:ascii="黑体"/>
        </w:rPr>
        <w:t>XX</w:t>
      </w:r>
      <w:r>
        <w:rPr>
          <w:rFonts w:ascii="黑体"/>
        </w:rPr>
        <w:t>-</w:t>
      </w:r>
      <w:r>
        <w:rPr>
          <w:rFonts w:hint="eastAsia" w:ascii="黑体"/>
        </w:rPr>
        <w:t>XX</w:t>
      </w:r>
      <w:r>
        <w:rPr>
          <w:rFonts w:hint="eastAsia"/>
        </w:rPr>
        <w:t>发布</w:t>
      </w:r>
      <w:r>
        <w:rPr>
          <w:rFonts w:hint="eastAsi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2339340</wp:posOffset>
                </wp:positionV>
                <wp:extent cx="6120130" cy="0"/>
                <wp:effectExtent l="0" t="0" r="33655" b="19050"/>
                <wp:wrapNone/>
                <wp:docPr id="2" name="直接连接符 2"/>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184.2pt;height:0pt;width:481.9pt;z-index:251661312;mso-width-relative:page;mso-height-relative:page;" filled="f" stroked="t" coordsize="21600,21600" o:gfxdata="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3ymz1QAAAAgBAAAPAAAAAAAA&#10;AAEAIAAAACIAAABkcnMvZG93bnJldi54bWxQSwECFAAUAAAACACHTuJARcPzM9wBAACoAwAADgAA&#10;AAAAAAABACAAAAAkAQAAZHJzL2Uyb0RvYy54bWxQSwUGAAAAAAYABgBZAQAAcgUAAAAA&#10;">
                <v:fill on="f" focussize="0,0"/>
                <v:stroke color="#00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8891905</wp:posOffset>
                </wp:positionV>
                <wp:extent cx="6120130" cy="0"/>
                <wp:effectExtent l="0" t="0" r="33655" b="19050"/>
                <wp:wrapNone/>
                <wp:docPr id="1" name="直接连接符 1"/>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700.15pt;height:0pt;width:481.9pt;z-index:251660288;mso-width-relative:page;mso-height-relative:page;" filled="f" stroked="t" coordsize="21600,21600" o:gfxdata="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Dr9Go1QAAAAoBAAAPAAAAAAAA&#10;AAEAIAAAACIAAABkcnMvZG93bnJldi54bWxQSwECFAAUAAAACACHTuJAY1jPcdwBAACoAwAADgAA&#10;AAAAAAABACAAAAAkAQAAZHJzL2Uyb0RvYy54bWxQSwUGAAAAAAYABgBZAQAAcgUAAAAA&#10;">
                <v:fill on="f" focussize="0,0"/>
                <v:stroke color="#000000" joinstyle="round"/>
                <v:imagedata o:title=""/>
                <o:lock v:ext="edit" aspectratio="f"/>
              </v:line>
            </w:pict>
          </mc:Fallback>
        </mc:AlternateContent>
      </w:r>
    </w:p>
    <w:p w14:paraId="540CC246">
      <w:pPr>
        <w:pStyle w:val="143"/>
        <w:framePr w:wrap="around"/>
      </w:pPr>
      <w:r>
        <w:rPr>
          <w:rFonts w:hint="eastAsia" w:ascii="黑体"/>
        </w:rPr>
        <w:t>XXXX</w:t>
      </w:r>
      <w:r>
        <w:rPr>
          <w:rFonts w:ascii="黑体"/>
        </w:rPr>
        <w:t>-</w:t>
      </w:r>
      <w:r>
        <w:rPr>
          <w:rFonts w:hint="eastAsia" w:ascii="黑体"/>
        </w:rPr>
        <w:t>XX</w:t>
      </w:r>
      <w:r>
        <w:rPr>
          <w:rFonts w:ascii="黑体"/>
        </w:rPr>
        <w:t>-</w:t>
      </w:r>
      <w:r>
        <w:rPr>
          <w:rFonts w:hint="eastAsia" w:ascii="黑体"/>
        </w:rPr>
        <w:t>XX</w:t>
      </w:r>
      <w:r>
        <w:rPr>
          <w:rFonts w:hint="eastAsia"/>
        </w:rPr>
        <w:t>实施</w:t>
      </w:r>
    </w:p>
    <w:p w14:paraId="0885E847">
      <w:pPr>
        <w:pStyle w:val="126"/>
        <w:framePr w:wrap="around" w:x="2143" w:y="15028"/>
        <w:rPr>
          <w:rStyle w:val="99"/>
          <w:sz w:val="32"/>
          <w:szCs w:val="32"/>
        </w:rPr>
      </w:pPr>
      <w:bookmarkStart w:id="1" w:name="_Hlk59786002"/>
      <w:r>
        <w:rPr>
          <w:rStyle w:val="99"/>
          <w:sz w:val="32"/>
          <w:szCs w:val="32"/>
        </w:rPr>
        <w:t xml:space="preserve"> </w:t>
      </w:r>
      <w:r>
        <w:rPr>
          <w:rStyle w:val="99"/>
          <w:rFonts w:hint="eastAsia"/>
          <w:sz w:val="32"/>
          <w:szCs w:val="32"/>
        </w:rPr>
        <w:t>北京标准化协会 发布</w:t>
      </w:r>
    </w:p>
    <w:bookmarkEnd w:id="1"/>
    <w:p w14:paraId="142C8E0A">
      <w:pPr>
        <w:pStyle w:val="125"/>
        <w:framePr w:w="6229" w:wrap="around" w:x="3060" w:y="2000"/>
        <w:rPr>
          <w:rFonts w:ascii="Times New Roman" w:hAnsi="Times New Roman"/>
        </w:rPr>
      </w:pPr>
      <w:bookmarkStart w:id="2" w:name="_Hlk46753822"/>
      <w:r>
        <w:rPr>
          <w:sz w:val="72"/>
          <w:szCs w:val="72"/>
        </w:rPr>
        <w:t>团体标</w:t>
      </w:r>
      <w:r>
        <w:rPr>
          <w:rFonts w:ascii="Times New Roman" w:hAnsi="Times New Roman"/>
          <w:sz w:val="72"/>
          <w:szCs w:val="72"/>
        </w:rPr>
        <w:t>准</w:t>
      </w:r>
    </w:p>
    <w:bookmarkEnd w:id="2"/>
    <w:p w14:paraId="0C51C97D">
      <w:pPr>
        <w:pStyle w:val="25"/>
        <w:sectPr>
          <w:headerReference r:id="rId3" w:type="even"/>
          <w:footerReference r:id="rId4" w:type="even"/>
          <w:pgSz w:w="11906" w:h="16838"/>
          <w:pgMar w:top="567" w:right="1558" w:bottom="1134" w:left="1417" w:header="0" w:footer="0" w:gutter="0"/>
          <w:pgNumType w:start="1"/>
          <w:cols w:space="425" w:num="1"/>
          <w:docGrid w:type="lines" w:linePitch="312" w:charSpace="0"/>
        </w:sectPr>
      </w:pPr>
      <w:r>
        <w:rPr>
          <w:rFonts w:hint="eastAsia"/>
        </w:rPr>
        <mc:AlternateContent>
          <mc:Choice Requires="wps">
            <w:drawing>
              <wp:anchor distT="0" distB="0" distL="114300" distR="114300" simplePos="0" relativeHeight="251665408" behindDoc="1" locked="0" layoutInCell="1" allowOverlap="1">
                <wp:simplePos x="0" y="0"/>
                <wp:positionH relativeFrom="column">
                  <wp:posOffset>-66675</wp:posOffset>
                </wp:positionH>
                <wp:positionV relativeFrom="paragraph">
                  <wp:posOffset>396240</wp:posOffset>
                </wp:positionV>
                <wp:extent cx="866775" cy="198120"/>
                <wp:effectExtent l="0" t="0" r="9525" b="0"/>
                <wp:wrapNone/>
                <wp:docPr id="8"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BAH" o:spid="_x0000_s1026" o:spt="1" style="position:absolute;left:0pt;margin-left:-5.25pt;margin-top:31.2pt;height:15.6pt;width:68.25pt;z-index:-251651072;v-text-anchor:middle;mso-width-relative:page;mso-height-relative:page;" fillcolor="#FFFFFF" filled="t" stroked="f" coordsize="21600,21600" o:gfxdata="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abbHNUAAAAJAQAA&#10;DwAAAAAAAAABACAAAAAiAAAAZHJzL2Rvd25yZXYueG1sUEsBAhQAFAAAAAgAh07iQL8IK5ZVAgAA&#10;vAQAAA4AAAAAAAAAAQAgAAAAJAEAAGRycy9lMm9Eb2MueG1sUEsFBgAAAAAGAAYAWQEAAOsFAAAA&#10;AA==&#10;">
                <v:fill on="t" focussize="0,0"/>
                <v:stroke on="f" weight="2pt"/>
                <v:imagedata o:title=""/>
                <o:lock v:ext="edit" aspectratio="f"/>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2339340</wp:posOffset>
                </wp:positionV>
                <wp:extent cx="6120130" cy="0"/>
                <wp:effectExtent l="0" t="0" r="33655" b="19050"/>
                <wp:wrapNone/>
                <wp:docPr id="4" name="直接连接符 4"/>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184.2pt;height:0pt;width:481.9pt;z-index:251663360;mso-width-relative:page;mso-height-relative:page;" filled="f" stroked="t" coordsize="21600,21600" o:gfxdata="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3ymz1QAAAAgBAAAPAAAAAAAA&#10;AAEAIAAAACIAAABkcnMvZG93bnJldi54bWxQSwECFAAUAAAACACHTuJACfWKt9wBAACoAwAADgAA&#10;AAAAAAABACAAAAAkAQAAZHJzL2Uyb0RvYy54bWxQSwUGAAAAAAYABgBZAQAAcgUAAAAA&#10;">
                <v:fill on="f" focussize="0,0"/>
                <v:stroke color="#000000" joinstyle="round"/>
                <v:imagedata o:title=""/>
                <o:lock v:ext="edit" aspectratio="f"/>
              </v:line>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8891905</wp:posOffset>
                </wp:positionV>
                <wp:extent cx="6120130" cy="0"/>
                <wp:effectExtent l="0" t="0" r="33655" b="19050"/>
                <wp:wrapNone/>
                <wp:docPr id="3" name="直接连接符 3"/>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700.15pt;height:0pt;width:481.9pt;z-index:251662336;mso-width-relative:page;mso-height-relative:page;" filled="f" stroked="t" coordsize="21600,21600" o:gfxdata="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Dr9Go1QAAAAoBAAAPAAAAAAAA&#10;AAEAIAAAACIAAABkcnMvZG93bnJldi54bWxQSwECFAAUAAAACACHTuJAp7XnDdwBAACoAwAADgAA&#10;AAAAAAABACAAAAAkAQAAZHJzL2Uyb0RvYy54bWxQSwUGAAAAAAYABgBZAQAAcgUAAAAA&#10;">
                <v:fill on="f" focussize="0,0"/>
                <v:stroke color="#000000" joinstyle="round"/>
                <v:imagedata o:title=""/>
                <o:lock v:ext="edit" aspectratio="f"/>
              </v:line>
            </w:pict>
          </mc:Fallback>
        </mc:AlternateContent>
      </w:r>
    </w:p>
    <w:sdt>
      <w:sdtPr>
        <w:rPr>
          <w:rFonts w:ascii="宋体" w:hAnsi="宋体" w:eastAsia="宋体" w:cs="Times New Roman"/>
          <w:kern w:val="2"/>
          <w:sz w:val="21"/>
          <w:szCs w:val="24"/>
          <w:lang w:val="en-US" w:eastAsia="zh-CN" w:bidi="ar-SA"/>
        </w:rPr>
        <w:id w:val="147466277"/>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1378C9CC">
          <w:pPr>
            <w:pStyle w:val="166"/>
            <w:spacing w:after="360"/>
            <w:rPr>
              <w:rFonts w:ascii="黑体" w:hAnsi="Times New Roman" w:eastAsia="黑体" w:cs="Times New Roman"/>
              <w:kern w:val="2"/>
              <w:sz w:val="32"/>
              <w:szCs w:val="24"/>
              <w:lang w:val="en-US" w:eastAsia="zh-CN" w:bidi="ar-SA"/>
            </w:rPr>
          </w:pPr>
          <w:bookmarkStart w:id="72" w:name="_GoBack"/>
          <w:bookmarkEnd w:id="72"/>
          <w:bookmarkStart w:id="3" w:name="_Toc59466659"/>
          <w:r>
            <w:rPr>
              <w:rFonts w:hint="eastAsia"/>
              <w:spacing w:val="320"/>
            </w:rPr>
            <w:t>目</w:t>
          </w:r>
          <w:r>
            <w:rPr>
              <w:rFonts w:hint="eastAsia"/>
            </w:rPr>
            <w:t>次</w:t>
          </w:r>
          <w:r>
            <w:fldChar w:fldCharType="begin"/>
          </w:r>
          <w:r>
            <w:instrText xml:space="preserve">TOC \o "1-3" \h \u </w:instrText>
          </w:r>
          <w:r>
            <w:fldChar w:fldCharType="separate"/>
          </w:r>
        </w:p>
        <w:p w14:paraId="499F600E">
          <w:pPr>
            <w:pStyle w:val="21"/>
            <w:keepNext w:val="0"/>
            <w:keepLines w:val="0"/>
            <w:pageBreakBefore w:val="0"/>
            <w:widowControl w:val="0"/>
            <w:tabs>
              <w:tab w:val="right" w:leader="dot" w:pos="9072"/>
              <w:tab w:val="clear" w:pos="9241"/>
            </w:tabs>
            <w:kinsoku/>
            <w:wordWrap/>
            <w:overflowPunct/>
            <w:topLinePunct w:val="0"/>
            <w:autoSpaceDE/>
            <w:autoSpaceDN/>
            <w:bidi w:val="0"/>
            <w:adjustRightInd/>
            <w:snapToGrid/>
            <w:spacing w:beforeLines="0" w:afterLines="0"/>
            <w:textAlignment w:val="auto"/>
          </w:pPr>
          <w:r>
            <w:fldChar w:fldCharType="begin"/>
          </w:r>
          <w:r>
            <w:instrText xml:space="preserve"> HYPERLINK \l _Toc16017 </w:instrText>
          </w:r>
          <w:r>
            <w:fldChar w:fldCharType="separate"/>
          </w:r>
          <w:r>
            <w:t>前</w:t>
          </w:r>
          <w:r>
            <w:rPr>
              <w:rFonts w:hint="eastAsia"/>
            </w:rPr>
            <w:t xml:space="preserve"> </w:t>
          </w:r>
          <w:r>
            <w:t xml:space="preserve"> 言</w:t>
          </w:r>
          <w:r>
            <w:tab/>
          </w:r>
          <w:r>
            <w:fldChar w:fldCharType="begin"/>
          </w:r>
          <w:r>
            <w:instrText xml:space="preserve"> PAGEREF _Toc16017 \h </w:instrText>
          </w:r>
          <w:r>
            <w:fldChar w:fldCharType="separate"/>
          </w:r>
          <w:r>
            <w:t>II</w:t>
          </w:r>
          <w:r>
            <w:fldChar w:fldCharType="end"/>
          </w:r>
          <w:r>
            <w:fldChar w:fldCharType="end"/>
          </w:r>
        </w:p>
        <w:p w14:paraId="7B6794DA">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_Toc8008 </w:instrText>
          </w:r>
          <w:r>
            <w:fldChar w:fldCharType="separate"/>
          </w:r>
          <w:r>
            <w:rPr>
              <w:rFonts w:hint="eastAsia" w:ascii="黑体" w:hAnsi="Times New Roman" w:eastAsia="黑体"/>
              <w:i w:val="0"/>
              <w:szCs w:val="21"/>
            </w:rPr>
            <w:t xml:space="preserve">1 </w:t>
          </w:r>
          <w:r>
            <w:t>范围</w:t>
          </w:r>
          <w:r>
            <w:tab/>
          </w:r>
          <w:r>
            <w:fldChar w:fldCharType="begin"/>
          </w:r>
          <w:r>
            <w:instrText xml:space="preserve"> PAGEREF _Toc8008 \h </w:instrText>
          </w:r>
          <w:r>
            <w:fldChar w:fldCharType="separate"/>
          </w:r>
          <w:r>
            <w:t>1</w:t>
          </w:r>
          <w:r>
            <w:fldChar w:fldCharType="end"/>
          </w:r>
          <w:r>
            <w:fldChar w:fldCharType="end"/>
          </w:r>
        </w:p>
        <w:p w14:paraId="2BE3E8BB">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_Toc19946 </w:instrText>
          </w:r>
          <w:r>
            <w:fldChar w:fldCharType="separate"/>
          </w:r>
          <w:r>
            <w:rPr>
              <w:rFonts w:hint="eastAsia" w:ascii="黑体" w:hAnsi="Times New Roman" w:eastAsia="黑体"/>
              <w:i w:val="0"/>
              <w:szCs w:val="21"/>
            </w:rPr>
            <w:t xml:space="preserve">2 </w:t>
          </w:r>
          <w:r>
            <w:t>规范性引用文件</w:t>
          </w:r>
          <w:r>
            <w:tab/>
          </w:r>
          <w:r>
            <w:fldChar w:fldCharType="begin"/>
          </w:r>
          <w:r>
            <w:instrText xml:space="preserve"> PAGEREF _Toc19946 \h </w:instrText>
          </w:r>
          <w:r>
            <w:fldChar w:fldCharType="separate"/>
          </w:r>
          <w:r>
            <w:t>1</w:t>
          </w:r>
          <w:r>
            <w:fldChar w:fldCharType="end"/>
          </w:r>
          <w:r>
            <w:fldChar w:fldCharType="end"/>
          </w:r>
        </w:p>
        <w:p w14:paraId="0F6DDE81">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_Toc14057 </w:instrText>
          </w:r>
          <w:r>
            <w:fldChar w:fldCharType="separate"/>
          </w:r>
          <w:r>
            <w:rPr>
              <w:rFonts w:hint="eastAsia" w:ascii="黑体" w:hAnsi="Times New Roman" w:eastAsia="黑体"/>
              <w:i w:val="0"/>
              <w:szCs w:val="21"/>
            </w:rPr>
            <w:t xml:space="preserve">3 </w:t>
          </w:r>
          <w:r>
            <w:t>术语和定义</w:t>
          </w:r>
          <w:r>
            <w:tab/>
          </w:r>
          <w:r>
            <w:fldChar w:fldCharType="begin"/>
          </w:r>
          <w:r>
            <w:instrText xml:space="preserve"> PAGEREF _Toc14057 \h </w:instrText>
          </w:r>
          <w:r>
            <w:fldChar w:fldCharType="separate"/>
          </w:r>
          <w:r>
            <w:t>1</w:t>
          </w:r>
          <w:r>
            <w:fldChar w:fldCharType="end"/>
          </w:r>
          <w:r>
            <w:fldChar w:fldCharType="end"/>
          </w:r>
        </w:p>
        <w:p w14:paraId="6A3A5258">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_Toc2153 </w:instrText>
          </w:r>
          <w:r>
            <w:fldChar w:fldCharType="separate"/>
          </w:r>
          <w:r>
            <w:rPr>
              <w:rFonts w:hint="eastAsia" w:ascii="黑体" w:hAnsi="Times New Roman" w:eastAsia="黑体"/>
              <w:i w:val="0"/>
              <w:szCs w:val="21"/>
            </w:rPr>
            <w:t xml:space="preserve">4 </w:t>
          </w:r>
          <w:r>
            <w:rPr>
              <w:rFonts w:hint="eastAsia"/>
            </w:rPr>
            <w:t>总体原则</w:t>
          </w:r>
          <w:r>
            <w:tab/>
          </w:r>
          <w:r>
            <w:fldChar w:fldCharType="begin"/>
          </w:r>
          <w:r>
            <w:instrText xml:space="preserve"> PAGEREF _Toc2153 \h </w:instrText>
          </w:r>
          <w:r>
            <w:fldChar w:fldCharType="separate"/>
          </w:r>
          <w:r>
            <w:t>1</w:t>
          </w:r>
          <w:r>
            <w:fldChar w:fldCharType="end"/>
          </w:r>
          <w:r>
            <w:fldChar w:fldCharType="end"/>
          </w:r>
        </w:p>
        <w:p w14:paraId="5FEEDD74">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_Toc31840 </w:instrText>
          </w:r>
          <w:r>
            <w:fldChar w:fldCharType="separate"/>
          </w:r>
          <w:r>
            <w:rPr>
              <w:rFonts w:hint="eastAsia"/>
              <w:lang w:val="en-US" w:eastAsia="zh-CN"/>
              <w14:scene3d>
                <w14:lightRig w14:rig="threePt" w14:dir="t">
                  <w14:rot w14:lat="0" w14:lon="0" w14:rev="0"/>
                </w14:lightRig>
              </w14:scene3d>
            </w:rPr>
            <w:t xml:space="preserve">4.1 </w:t>
          </w:r>
          <w:r>
            <w:rPr>
              <w:rFonts w:hint="eastAsia"/>
              <w14:scene3d>
                <w14:lightRig w14:rig="threePt" w14:dir="t">
                  <w14:rot w14:lat="0" w14:lon="0" w14:rev="0"/>
                </w14:lightRig>
              </w14:scene3d>
            </w:rPr>
            <w:t>目标导向原则</w:t>
          </w:r>
          <w:r>
            <w:tab/>
          </w:r>
          <w:r>
            <w:fldChar w:fldCharType="begin"/>
          </w:r>
          <w:r>
            <w:instrText xml:space="preserve"> PAGEREF _Toc31840 \h </w:instrText>
          </w:r>
          <w:r>
            <w:fldChar w:fldCharType="separate"/>
          </w:r>
          <w:r>
            <w:t>1</w:t>
          </w:r>
          <w:r>
            <w:fldChar w:fldCharType="end"/>
          </w:r>
          <w:r>
            <w:fldChar w:fldCharType="end"/>
          </w:r>
        </w:p>
        <w:p w14:paraId="2B8FA9EC">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_Toc3289 </w:instrText>
          </w:r>
          <w:r>
            <w:fldChar w:fldCharType="separate"/>
          </w:r>
          <w:r>
            <w:rPr>
              <w:rFonts w:hint="eastAsia"/>
              <w:lang w:val="en-US" w:eastAsia="zh-CN"/>
              <w14:scene3d>
                <w14:lightRig w14:rig="threePt" w14:dir="t">
                  <w14:rot w14:lat="0" w14:lon="0" w14:rev="0"/>
                </w14:lightRig>
              </w14:scene3d>
            </w:rPr>
            <w:t>4.2 科学规范原则</w:t>
          </w:r>
          <w:r>
            <w:tab/>
          </w:r>
          <w:r>
            <w:fldChar w:fldCharType="begin"/>
          </w:r>
          <w:r>
            <w:instrText xml:space="preserve"> PAGEREF _Toc3289 \h </w:instrText>
          </w:r>
          <w:r>
            <w:fldChar w:fldCharType="separate"/>
          </w:r>
          <w:r>
            <w:t>2</w:t>
          </w:r>
          <w:r>
            <w:fldChar w:fldCharType="end"/>
          </w:r>
          <w:r>
            <w:fldChar w:fldCharType="end"/>
          </w:r>
        </w:p>
        <w:p w14:paraId="3F9A1F8A">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_Toc29061 </w:instrText>
          </w:r>
          <w:r>
            <w:fldChar w:fldCharType="separate"/>
          </w:r>
          <w:r>
            <w:rPr>
              <w:rFonts w:hint="eastAsia"/>
              <w:lang w:val="en-US" w:eastAsia="zh-CN"/>
              <w14:scene3d>
                <w14:lightRig w14:rig="threePt" w14:dir="t">
                  <w14:rot w14:lat="0" w14:lon="0" w14:rev="0"/>
                </w14:lightRig>
              </w14:scene3d>
            </w:rPr>
            <w:t>4.3 动态发展原则</w:t>
          </w:r>
          <w:r>
            <w:tab/>
          </w:r>
          <w:r>
            <w:fldChar w:fldCharType="begin"/>
          </w:r>
          <w:r>
            <w:instrText xml:space="preserve"> PAGEREF _Toc29061 \h </w:instrText>
          </w:r>
          <w:r>
            <w:fldChar w:fldCharType="separate"/>
          </w:r>
          <w:r>
            <w:t>2</w:t>
          </w:r>
          <w:r>
            <w:fldChar w:fldCharType="end"/>
          </w:r>
          <w:r>
            <w:fldChar w:fldCharType="end"/>
          </w:r>
        </w:p>
        <w:p w14:paraId="7D21E834">
          <w:pPr>
            <w:pStyle w:val="21"/>
            <w:keepNext w:val="0"/>
            <w:keepLines w:val="0"/>
            <w:pageBreakBefore w:val="0"/>
            <w:widowControl w:val="0"/>
            <w:tabs>
              <w:tab w:val="right" w:leader="dot" w:pos="9072"/>
              <w:tab w:val="clear" w:pos="9241"/>
            </w:tabs>
            <w:kinsoku/>
            <w:wordWrap/>
            <w:overflowPunct/>
            <w:topLinePunct w:val="0"/>
            <w:autoSpaceDE/>
            <w:autoSpaceDN/>
            <w:bidi w:val="0"/>
            <w:adjustRightInd/>
            <w:snapToGrid/>
            <w:spacing w:beforeLines="0" w:afterLines="0"/>
            <w:textAlignment w:val="auto"/>
          </w:pPr>
          <w:r>
            <w:fldChar w:fldCharType="begin"/>
          </w:r>
          <w:r>
            <w:instrText xml:space="preserve"> HYPERLINK \l _Toc12198 </w:instrText>
          </w:r>
          <w:r>
            <w:fldChar w:fldCharType="separate"/>
          </w:r>
          <w:r>
            <w:rPr>
              <w:rFonts w:hint="eastAsia"/>
              <w:lang w:val="en-US" w:eastAsia="zh-CN"/>
            </w:rPr>
            <w:t>5 评价指标体系</w:t>
          </w:r>
          <w:r>
            <w:tab/>
          </w:r>
          <w:r>
            <w:fldChar w:fldCharType="begin"/>
          </w:r>
          <w:r>
            <w:instrText xml:space="preserve"> PAGEREF _Toc12198 \h </w:instrText>
          </w:r>
          <w:r>
            <w:fldChar w:fldCharType="separate"/>
          </w:r>
          <w:r>
            <w:t>2</w:t>
          </w:r>
          <w:r>
            <w:fldChar w:fldCharType="end"/>
          </w:r>
          <w:r>
            <w:fldChar w:fldCharType="end"/>
          </w:r>
        </w:p>
        <w:p w14:paraId="06E8261B">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_Toc25986 </w:instrText>
          </w:r>
          <w:r>
            <w:fldChar w:fldCharType="separate"/>
          </w:r>
          <w:r>
            <w:rPr>
              <w:rFonts w:hint="eastAsia"/>
              <w14:scene3d>
                <w14:lightRig w14:rig="threePt" w14:dir="t">
                  <w14:rot w14:lat="0" w14:lon="0" w14:rev="0"/>
                </w14:lightRig>
              </w14:scene3d>
            </w:rPr>
            <w:t>5.</w:t>
          </w:r>
          <w:r>
            <w:rPr>
              <w:rFonts w:hint="eastAsia"/>
              <w:lang w:val="en-US" w:eastAsia="zh-CN"/>
              <w14:scene3d>
                <w14:lightRig w14:rig="threePt" w14:dir="t">
                  <w14:rot w14:lat="0" w14:lon="0" w14:rev="0"/>
                </w14:lightRig>
              </w14:scene3d>
            </w:rPr>
            <w:t>1</w:t>
          </w:r>
          <w:r>
            <w:rPr>
              <w:rFonts w:hint="eastAsia"/>
              <w14:scene3d>
                <w14:lightRig w14:rig="threePt" w14:dir="t">
                  <w14:rot w14:lat="0" w14:lon="0" w14:rev="0"/>
                </w14:lightRig>
              </w14:scene3d>
            </w:rPr>
            <w:t>　</w:t>
          </w:r>
          <w:r>
            <w:rPr>
              <w:rFonts w:hint="eastAsia"/>
            </w:rPr>
            <w:t>指标体系框架</w:t>
          </w:r>
          <w:r>
            <w:tab/>
          </w:r>
          <w:r>
            <w:fldChar w:fldCharType="begin"/>
          </w:r>
          <w:r>
            <w:instrText xml:space="preserve"> PAGEREF _Toc25986 \h </w:instrText>
          </w:r>
          <w:r>
            <w:fldChar w:fldCharType="separate"/>
          </w:r>
          <w:r>
            <w:t>2</w:t>
          </w:r>
          <w:r>
            <w:fldChar w:fldCharType="end"/>
          </w:r>
          <w:r>
            <w:fldChar w:fldCharType="end"/>
          </w:r>
        </w:p>
        <w:p w14:paraId="30D15511">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_Toc5407 </w:instrText>
          </w:r>
          <w:r>
            <w:fldChar w:fldCharType="separate"/>
          </w:r>
          <w:r>
            <w:rPr>
              <w:rFonts w:hint="eastAsia"/>
              <w14:scene3d>
                <w14:lightRig w14:rig="threePt" w14:dir="t">
                  <w14:rot w14:lat="0" w14:lon="0" w14:rev="0"/>
                </w14:lightRig>
              </w14:scene3d>
            </w:rPr>
            <w:t>5.2　</w:t>
          </w:r>
          <w:r>
            <w:rPr>
              <w:rFonts w:hint="eastAsia"/>
            </w:rPr>
            <w:t>基础能力维度</w:t>
          </w:r>
          <w:r>
            <w:tab/>
          </w:r>
          <w:r>
            <w:fldChar w:fldCharType="begin"/>
          </w:r>
          <w:r>
            <w:instrText xml:space="preserve"> PAGEREF _Toc5407 \h </w:instrText>
          </w:r>
          <w:r>
            <w:fldChar w:fldCharType="separate"/>
          </w:r>
          <w:r>
            <w:t>2</w:t>
          </w:r>
          <w:r>
            <w:fldChar w:fldCharType="end"/>
          </w:r>
          <w:r>
            <w:fldChar w:fldCharType="end"/>
          </w:r>
        </w:p>
        <w:p w14:paraId="1E724EE9">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_Toc27879 </w:instrText>
          </w:r>
          <w:r>
            <w:fldChar w:fldCharType="separate"/>
          </w:r>
          <w:r>
            <w:rPr>
              <w:rFonts w:hint="eastAsia"/>
              <w14:scene3d>
                <w14:lightRig w14:rig="threePt" w14:dir="t">
                  <w14:rot w14:lat="0" w14:lon="0" w14:rev="0"/>
                </w14:lightRig>
              </w14:scene3d>
            </w:rPr>
            <w:t>5.3　</w:t>
          </w:r>
          <w:r>
            <w:rPr>
              <w:rFonts w:hint="eastAsia"/>
            </w:rPr>
            <w:t>专项能力维度</w:t>
          </w:r>
          <w:r>
            <w:tab/>
          </w:r>
          <w:r>
            <w:fldChar w:fldCharType="begin"/>
          </w:r>
          <w:r>
            <w:instrText xml:space="preserve"> PAGEREF _Toc27879 \h </w:instrText>
          </w:r>
          <w:r>
            <w:fldChar w:fldCharType="separate"/>
          </w:r>
          <w:r>
            <w:t>3</w:t>
          </w:r>
          <w:r>
            <w:fldChar w:fldCharType="end"/>
          </w:r>
          <w:r>
            <w:fldChar w:fldCharType="end"/>
          </w:r>
        </w:p>
        <w:p w14:paraId="29BFEB5F">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_Toc25382 </w:instrText>
          </w:r>
          <w:r>
            <w:fldChar w:fldCharType="separate"/>
          </w:r>
          <w:r>
            <w:rPr>
              <w:rFonts w:hint="eastAsia"/>
              <w14:scene3d>
                <w14:lightRig w14:rig="threePt" w14:dir="t">
                  <w14:rot w14:lat="0" w14:lon="0" w14:rev="0"/>
                </w14:lightRig>
              </w14:scene3d>
            </w:rPr>
            <w:t>5.4　</w:t>
          </w:r>
          <w:r>
            <w:t>职业素养维度</w:t>
          </w:r>
          <w:r>
            <w:tab/>
          </w:r>
          <w:r>
            <w:fldChar w:fldCharType="begin"/>
          </w:r>
          <w:r>
            <w:instrText xml:space="preserve"> PAGEREF _Toc25382 \h </w:instrText>
          </w:r>
          <w:r>
            <w:fldChar w:fldCharType="separate"/>
          </w:r>
          <w:r>
            <w:t>4</w:t>
          </w:r>
          <w:r>
            <w:fldChar w:fldCharType="end"/>
          </w:r>
          <w:r>
            <w:fldChar w:fldCharType="end"/>
          </w:r>
        </w:p>
        <w:p w14:paraId="1783F2FF">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_Toc13141 </w:instrText>
          </w:r>
          <w:r>
            <w:fldChar w:fldCharType="separate"/>
          </w:r>
          <w:r>
            <w:rPr>
              <w:rFonts w:hint="eastAsia"/>
              <w14:scene3d>
                <w14:lightRig w14:rig="threePt" w14:dir="t">
                  <w14:rot w14:lat="0" w14:lon="0" w14:rev="0"/>
                </w14:lightRig>
              </w14:scene3d>
            </w:rPr>
            <w:t>5.5　</w:t>
          </w:r>
          <w:r>
            <w:t>综合能力维度</w:t>
          </w:r>
          <w:r>
            <w:tab/>
          </w:r>
          <w:r>
            <w:fldChar w:fldCharType="begin"/>
          </w:r>
          <w:r>
            <w:instrText xml:space="preserve"> PAGEREF _Toc13141 \h </w:instrText>
          </w:r>
          <w:r>
            <w:fldChar w:fldCharType="separate"/>
          </w:r>
          <w:r>
            <w:t>4</w:t>
          </w:r>
          <w:r>
            <w:fldChar w:fldCharType="end"/>
          </w:r>
          <w:r>
            <w:fldChar w:fldCharType="end"/>
          </w:r>
        </w:p>
        <w:p w14:paraId="172F1238">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_Toc26359 </w:instrText>
          </w:r>
          <w:r>
            <w:fldChar w:fldCharType="separate"/>
          </w:r>
          <w:r>
            <w:rPr>
              <w:rFonts w:hint="eastAsia"/>
              <w14:scene3d>
                <w14:lightRig w14:rig="threePt" w14:dir="t">
                  <w14:rot w14:lat="0" w14:lon="0" w14:rev="0"/>
                </w14:lightRig>
              </w14:scene3d>
            </w:rPr>
            <w:t>5.6　</w:t>
          </w:r>
          <w:r>
            <w:rPr>
              <w:rFonts w:hint="eastAsia"/>
            </w:rPr>
            <w:t>指标</w:t>
          </w:r>
          <w:r>
            <w:rPr>
              <w:rFonts w:hint="eastAsia"/>
              <w:lang w:val="en-US" w:eastAsia="zh-CN"/>
            </w:rPr>
            <w:t>权重</w:t>
          </w:r>
          <w:r>
            <w:rPr>
              <w:rFonts w:hint="eastAsia"/>
            </w:rPr>
            <w:t>与</w:t>
          </w:r>
          <w:r>
            <w:rPr>
              <w:rFonts w:hint="eastAsia"/>
              <w:lang w:val="en-US" w:eastAsia="zh-CN"/>
            </w:rPr>
            <w:t>分值计算</w:t>
          </w:r>
          <w:r>
            <w:tab/>
          </w:r>
          <w:r>
            <w:fldChar w:fldCharType="begin"/>
          </w:r>
          <w:r>
            <w:instrText xml:space="preserve"> PAGEREF _Toc26359 \h </w:instrText>
          </w:r>
          <w:r>
            <w:fldChar w:fldCharType="separate"/>
          </w:r>
          <w:r>
            <w:t>5</w:t>
          </w:r>
          <w:r>
            <w:fldChar w:fldCharType="end"/>
          </w:r>
          <w:r>
            <w:fldChar w:fldCharType="end"/>
          </w:r>
        </w:p>
        <w:p w14:paraId="3E27C9E4">
          <w:pPr>
            <w:pStyle w:val="21"/>
            <w:keepNext w:val="0"/>
            <w:keepLines w:val="0"/>
            <w:pageBreakBefore w:val="0"/>
            <w:widowControl w:val="0"/>
            <w:tabs>
              <w:tab w:val="right" w:leader="dot" w:pos="9072"/>
              <w:tab w:val="clear" w:pos="9241"/>
            </w:tabs>
            <w:kinsoku/>
            <w:wordWrap/>
            <w:overflowPunct/>
            <w:topLinePunct w:val="0"/>
            <w:autoSpaceDE/>
            <w:autoSpaceDN/>
            <w:bidi w:val="0"/>
            <w:adjustRightInd/>
            <w:snapToGrid/>
            <w:spacing w:beforeLines="0" w:afterLines="0"/>
            <w:textAlignment w:val="auto"/>
          </w:pPr>
          <w:r>
            <w:fldChar w:fldCharType="begin"/>
          </w:r>
          <w:r>
            <w:instrText xml:space="preserve"> HYPERLINK \l _Toc26798 </w:instrText>
          </w:r>
          <w:r>
            <w:fldChar w:fldCharType="separate"/>
          </w:r>
          <w:r>
            <w:rPr>
              <w:rFonts w:hint="eastAsia"/>
            </w:rPr>
            <w:t>6　评价实施</w:t>
          </w:r>
          <w:r>
            <w:tab/>
          </w:r>
          <w:r>
            <w:fldChar w:fldCharType="begin"/>
          </w:r>
          <w:r>
            <w:instrText xml:space="preserve"> PAGEREF _Toc26798 \h </w:instrText>
          </w:r>
          <w:r>
            <w:fldChar w:fldCharType="separate"/>
          </w:r>
          <w:r>
            <w:t>6</w:t>
          </w:r>
          <w:r>
            <w:fldChar w:fldCharType="end"/>
          </w:r>
          <w:r>
            <w:fldChar w:fldCharType="end"/>
          </w:r>
        </w:p>
        <w:p w14:paraId="377F4987">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_Toc12831 </w:instrText>
          </w:r>
          <w:r>
            <w:fldChar w:fldCharType="separate"/>
          </w:r>
          <w:r>
            <w:rPr>
              <w:rFonts w:hint="eastAsia"/>
              <w14:scene3d>
                <w14:lightRig w14:rig="threePt" w14:dir="t">
                  <w14:rot w14:lat="0" w14:lon="0" w14:rev="0"/>
                </w14:lightRig>
              </w14:scene3d>
            </w:rPr>
            <w:t>6.1　评价主体</w:t>
          </w:r>
          <w:r>
            <w:tab/>
          </w:r>
          <w:r>
            <w:fldChar w:fldCharType="begin"/>
          </w:r>
          <w:r>
            <w:instrText xml:space="preserve"> PAGEREF _Toc12831 \h </w:instrText>
          </w:r>
          <w:r>
            <w:fldChar w:fldCharType="separate"/>
          </w:r>
          <w:r>
            <w:t>6</w:t>
          </w:r>
          <w:r>
            <w:fldChar w:fldCharType="end"/>
          </w:r>
          <w:r>
            <w:fldChar w:fldCharType="end"/>
          </w:r>
        </w:p>
        <w:p w14:paraId="63ACC288">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_Toc15551 </w:instrText>
          </w:r>
          <w:r>
            <w:fldChar w:fldCharType="separate"/>
          </w:r>
          <w:r>
            <w:rPr>
              <w:rFonts w:hint="eastAsia"/>
              <w14:scene3d>
                <w14:lightRig w14:rig="threePt" w14:dir="t">
                  <w14:rot w14:lat="0" w14:lon="0" w14:rev="0"/>
                </w14:lightRig>
              </w14:scene3d>
            </w:rPr>
            <w:t>6.2　</w:t>
          </w:r>
          <w:r>
            <w:rPr>
              <w:rFonts w:hint="eastAsia"/>
            </w:rPr>
            <w:t>评价方式</w:t>
          </w:r>
          <w:r>
            <w:tab/>
          </w:r>
          <w:r>
            <w:fldChar w:fldCharType="begin"/>
          </w:r>
          <w:r>
            <w:instrText xml:space="preserve"> PAGEREF _Toc15551 \h </w:instrText>
          </w:r>
          <w:r>
            <w:fldChar w:fldCharType="separate"/>
          </w:r>
          <w:r>
            <w:t>6</w:t>
          </w:r>
          <w:r>
            <w:fldChar w:fldCharType="end"/>
          </w:r>
          <w:r>
            <w:fldChar w:fldCharType="end"/>
          </w:r>
        </w:p>
        <w:p w14:paraId="79AF8393">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_Toc12282 </w:instrText>
          </w:r>
          <w:r>
            <w:fldChar w:fldCharType="separate"/>
          </w:r>
          <w:r>
            <w:rPr>
              <w:rFonts w:hint="eastAsia"/>
              <w14:scene3d>
                <w14:lightRig w14:rig="threePt" w14:dir="t">
                  <w14:rot w14:lat="0" w14:lon="0" w14:rev="0"/>
                </w14:lightRig>
              </w14:scene3d>
            </w:rPr>
            <w:t>6.3　</w:t>
          </w:r>
          <w:r>
            <w:rPr>
              <w:rFonts w:hint="eastAsia"/>
            </w:rPr>
            <w:t>评价工具</w:t>
          </w:r>
          <w:r>
            <w:tab/>
          </w:r>
          <w:r>
            <w:fldChar w:fldCharType="begin"/>
          </w:r>
          <w:r>
            <w:instrText xml:space="preserve"> PAGEREF _Toc12282 \h </w:instrText>
          </w:r>
          <w:r>
            <w:fldChar w:fldCharType="separate"/>
          </w:r>
          <w:r>
            <w:t>6</w:t>
          </w:r>
          <w:r>
            <w:fldChar w:fldCharType="end"/>
          </w:r>
          <w:r>
            <w:fldChar w:fldCharType="end"/>
          </w:r>
        </w:p>
        <w:p w14:paraId="79499ED7">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_Toc1317 </w:instrText>
          </w:r>
          <w:r>
            <w:fldChar w:fldCharType="separate"/>
          </w:r>
          <w:r>
            <w:rPr>
              <w:rFonts w:hint="default"/>
              <w:lang w:val="en-US" w:eastAsia="zh-CN"/>
            </w:rPr>
            <w:t>6.4 评价伦理与信息保护</w:t>
          </w:r>
          <w:r>
            <w:tab/>
          </w:r>
          <w:r>
            <w:fldChar w:fldCharType="begin"/>
          </w:r>
          <w:r>
            <w:instrText xml:space="preserve"> PAGEREF _Toc1317 \h </w:instrText>
          </w:r>
          <w:r>
            <w:fldChar w:fldCharType="separate"/>
          </w:r>
          <w:r>
            <w:t>6</w:t>
          </w:r>
          <w:r>
            <w:fldChar w:fldCharType="end"/>
          </w:r>
          <w:r>
            <w:fldChar w:fldCharType="end"/>
          </w:r>
        </w:p>
        <w:p w14:paraId="71C400A6">
          <w:pPr>
            <w:pStyle w:val="21"/>
            <w:keepNext w:val="0"/>
            <w:keepLines w:val="0"/>
            <w:pageBreakBefore w:val="0"/>
            <w:widowControl w:val="0"/>
            <w:tabs>
              <w:tab w:val="right" w:leader="dot" w:pos="9072"/>
              <w:tab w:val="clear" w:pos="9241"/>
            </w:tabs>
            <w:kinsoku/>
            <w:wordWrap/>
            <w:overflowPunct/>
            <w:topLinePunct w:val="0"/>
            <w:autoSpaceDE/>
            <w:autoSpaceDN/>
            <w:bidi w:val="0"/>
            <w:adjustRightInd/>
            <w:snapToGrid/>
            <w:spacing w:beforeLines="0" w:afterLines="0"/>
            <w:textAlignment w:val="auto"/>
          </w:pPr>
          <w:r>
            <w:fldChar w:fldCharType="begin"/>
          </w:r>
          <w:r>
            <w:instrText xml:space="preserve"> HYPERLINK \l _Toc128 </w:instrText>
          </w:r>
          <w:r>
            <w:fldChar w:fldCharType="separate"/>
          </w:r>
          <w:r>
            <w:rPr>
              <w:rFonts w:hint="eastAsia"/>
            </w:rPr>
            <w:t>7　评价结果应用与动态管理</w:t>
          </w:r>
          <w:r>
            <w:tab/>
          </w:r>
          <w:r>
            <w:fldChar w:fldCharType="begin"/>
          </w:r>
          <w:r>
            <w:instrText xml:space="preserve"> PAGEREF _Toc128 \h </w:instrText>
          </w:r>
          <w:r>
            <w:fldChar w:fldCharType="separate"/>
          </w:r>
          <w:r>
            <w:t>6</w:t>
          </w:r>
          <w:r>
            <w:fldChar w:fldCharType="end"/>
          </w:r>
          <w:r>
            <w:fldChar w:fldCharType="end"/>
          </w:r>
        </w:p>
        <w:p w14:paraId="1E084CD5">
          <w:pPr>
            <w:pStyle w:val="21"/>
            <w:keepNext w:val="0"/>
            <w:keepLines w:val="0"/>
            <w:pageBreakBefore w:val="0"/>
            <w:widowControl w:val="0"/>
            <w:tabs>
              <w:tab w:val="right" w:leader="dot" w:pos="9072"/>
              <w:tab w:val="clear" w:pos="9241"/>
            </w:tabs>
            <w:kinsoku/>
            <w:wordWrap/>
            <w:overflowPunct/>
            <w:topLinePunct w:val="0"/>
            <w:autoSpaceDE/>
            <w:autoSpaceDN/>
            <w:bidi w:val="0"/>
            <w:adjustRightInd/>
            <w:snapToGrid/>
            <w:spacing w:beforeLines="0" w:afterLines="0"/>
            <w:textAlignment w:val="auto"/>
          </w:pPr>
          <w:r>
            <w:fldChar w:fldCharType="begin"/>
          </w:r>
          <w:r>
            <w:instrText xml:space="preserve"> HYPERLINK \l _Toc18308 </w:instrText>
          </w:r>
          <w:r>
            <w:fldChar w:fldCharType="separate"/>
          </w:r>
          <w:r>
            <w:rPr>
              <w:rFonts w:hint="eastAsia"/>
            </w:rPr>
            <w:t>7.1 评价结果的应用</w:t>
          </w:r>
          <w:r>
            <w:tab/>
          </w:r>
          <w:r>
            <w:fldChar w:fldCharType="begin"/>
          </w:r>
          <w:r>
            <w:instrText xml:space="preserve"> PAGEREF _Toc18308 \h </w:instrText>
          </w:r>
          <w:r>
            <w:fldChar w:fldCharType="separate"/>
          </w:r>
          <w:r>
            <w:t>7</w:t>
          </w:r>
          <w:r>
            <w:fldChar w:fldCharType="end"/>
          </w:r>
          <w:r>
            <w:fldChar w:fldCharType="end"/>
          </w:r>
        </w:p>
        <w:p w14:paraId="73636815">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_Toc2606 </w:instrText>
          </w:r>
          <w:r>
            <w:fldChar w:fldCharType="separate"/>
          </w:r>
          <w:r>
            <w:rPr>
              <w:rFonts w:hint="eastAsia"/>
              <w14:scene3d>
                <w14:lightRig w14:rig="threePt" w14:dir="t">
                  <w14:rot w14:lat="0" w14:lon="0" w14:rev="0"/>
                </w14:lightRig>
              </w14:scene3d>
            </w:rPr>
            <w:t>7.2　</w:t>
          </w:r>
          <w:r>
            <w:rPr>
              <w:rFonts w:hint="eastAsia"/>
            </w:rPr>
            <w:t>动态管理机制</w:t>
          </w:r>
          <w:r>
            <w:tab/>
          </w:r>
          <w:r>
            <w:fldChar w:fldCharType="begin"/>
          </w:r>
          <w:r>
            <w:instrText xml:space="preserve"> PAGEREF _Toc2606 \h </w:instrText>
          </w:r>
          <w:r>
            <w:fldChar w:fldCharType="separate"/>
          </w:r>
          <w:r>
            <w:t>7</w:t>
          </w:r>
          <w:r>
            <w:fldChar w:fldCharType="end"/>
          </w:r>
          <w:r>
            <w:fldChar w:fldCharType="end"/>
          </w:r>
        </w:p>
        <w:p w14:paraId="6E1D0A79">
          <w:pPr>
            <w:pStyle w:val="21"/>
            <w:keepNext w:val="0"/>
            <w:keepLines w:val="0"/>
            <w:pageBreakBefore w:val="0"/>
            <w:widowControl w:val="0"/>
            <w:tabs>
              <w:tab w:val="right" w:leader="dot" w:pos="9072"/>
              <w:tab w:val="clear" w:pos="9241"/>
            </w:tabs>
            <w:kinsoku/>
            <w:wordWrap/>
            <w:overflowPunct/>
            <w:topLinePunct w:val="0"/>
            <w:autoSpaceDE/>
            <w:autoSpaceDN/>
            <w:bidi w:val="0"/>
            <w:adjustRightInd/>
            <w:snapToGrid/>
            <w:spacing w:beforeLines="0" w:afterLines="0"/>
            <w:textAlignment w:val="auto"/>
          </w:pPr>
          <w:r>
            <w:fldChar w:fldCharType="begin"/>
          </w:r>
          <w:r>
            <w:instrText xml:space="preserve"> HYPERLINK \l _Toc29252 </w:instrText>
          </w:r>
          <w:r>
            <w:fldChar w:fldCharType="separate"/>
          </w:r>
          <w:r>
            <w:rPr>
              <w:rFonts w:hint="eastAsia"/>
              <w:lang w:val="en-US" w:eastAsia="zh-CN"/>
            </w:rPr>
            <w:t>附录  A</w:t>
          </w:r>
          <w:r>
            <w:rPr>
              <w:rFonts w:hint="eastAsia"/>
            </w:rPr>
            <w:t>（资料性）心理照护胜任力评分表</w:t>
          </w:r>
          <w:r>
            <w:tab/>
          </w:r>
          <w:r>
            <w:fldChar w:fldCharType="begin"/>
          </w:r>
          <w:r>
            <w:instrText xml:space="preserve"> PAGEREF _Toc29252 \h </w:instrText>
          </w:r>
          <w:r>
            <w:fldChar w:fldCharType="separate"/>
          </w:r>
          <w:r>
            <w:t>8</w:t>
          </w:r>
          <w:r>
            <w:fldChar w:fldCharType="end"/>
          </w:r>
          <w:r>
            <w:fldChar w:fldCharType="end"/>
          </w:r>
        </w:p>
        <w:p w14:paraId="10F02D93">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_Toc1077 </w:instrText>
          </w:r>
          <w:r>
            <w:fldChar w:fldCharType="separate"/>
          </w:r>
          <w:r>
            <w:rPr>
              <w:rFonts w:hint="eastAsia"/>
            </w:rPr>
            <w:t xml:space="preserve">A.1 </w:t>
          </w:r>
          <w:r>
            <w:rPr>
              <w:rFonts w:hint="eastAsia"/>
              <w:lang w:val="en-US" w:eastAsia="zh-CN"/>
            </w:rPr>
            <w:t>使用说明</w:t>
          </w:r>
          <w:r>
            <w:tab/>
          </w:r>
          <w:r>
            <w:fldChar w:fldCharType="begin"/>
          </w:r>
          <w:r>
            <w:instrText xml:space="preserve"> PAGEREF _Toc1077 \h </w:instrText>
          </w:r>
          <w:r>
            <w:fldChar w:fldCharType="separate"/>
          </w:r>
          <w:r>
            <w:t>8</w:t>
          </w:r>
          <w:r>
            <w:fldChar w:fldCharType="end"/>
          </w:r>
          <w:r>
            <w:fldChar w:fldCharType="end"/>
          </w:r>
        </w:p>
        <w:p w14:paraId="395BD59E">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_Toc8308 </w:instrText>
          </w:r>
          <w:r>
            <w:fldChar w:fldCharType="separate"/>
          </w:r>
          <w:r>
            <w:rPr>
              <w:rFonts w:hint="eastAsia"/>
            </w:rPr>
            <w:t xml:space="preserve">A.2 </w:t>
          </w:r>
          <w:r>
            <w:rPr>
              <w:rFonts w:hint="eastAsia"/>
              <w:lang w:val="en-US" w:eastAsia="zh-CN"/>
            </w:rPr>
            <w:t>基础能力维度</w:t>
          </w:r>
          <w:r>
            <w:tab/>
          </w:r>
          <w:r>
            <w:fldChar w:fldCharType="begin"/>
          </w:r>
          <w:r>
            <w:instrText xml:space="preserve"> PAGEREF _Toc8308 \h </w:instrText>
          </w:r>
          <w:r>
            <w:fldChar w:fldCharType="separate"/>
          </w:r>
          <w:r>
            <w:t>8</w:t>
          </w:r>
          <w:r>
            <w:fldChar w:fldCharType="end"/>
          </w:r>
          <w:r>
            <w:fldChar w:fldCharType="end"/>
          </w:r>
        </w:p>
        <w:p w14:paraId="325A7DEC">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_Toc881 </w:instrText>
          </w:r>
          <w:r>
            <w:fldChar w:fldCharType="separate"/>
          </w:r>
          <w:r>
            <w:rPr>
              <w:rFonts w:hint="eastAsia"/>
            </w:rPr>
            <w:t xml:space="preserve">A.3 </w:t>
          </w:r>
          <w:r>
            <w:rPr>
              <w:rFonts w:hint="eastAsia"/>
              <w:lang w:val="en-US" w:eastAsia="zh-CN"/>
            </w:rPr>
            <w:t>专项能力维度</w:t>
          </w:r>
          <w:r>
            <w:tab/>
          </w:r>
          <w:r>
            <w:fldChar w:fldCharType="begin"/>
          </w:r>
          <w:r>
            <w:instrText xml:space="preserve"> PAGEREF _Toc881 \h </w:instrText>
          </w:r>
          <w:r>
            <w:fldChar w:fldCharType="separate"/>
          </w:r>
          <w:r>
            <w:t>9</w:t>
          </w:r>
          <w:r>
            <w:fldChar w:fldCharType="end"/>
          </w:r>
          <w:r>
            <w:fldChar w:fldCharType="end"/>
          </w:r>
        </w:p>
        <w:p w14:paraId="1B4E7A87">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_Toc27009 </w:instrText>
          </w:r>
          <w:r>
            <w:fldChar w:fldCharType="separate"/>
          </w:r>
          <w:r>
            <w:rPr>
              <w:rFonts w:hint="eastAsia"/>
            </w:rPr>
            <w:t xml:space="preserve">A.4 </w:t>
          </w:r>
          <w:r>
            <w:rPr>
              <w:rFonts w:hint="eastAsia"/>
              <w:lang w:val="en-US" w:eastAsia="zh-CN"/>
            </w:rPr>
            <w:t>职业素养维度</w:t>
          </w:r>
          <w:r>
            <w:tab/>
          </w:r>
          <w:r>
            <w:fldChar w:fldCharType="begin"/>
          </w:r>
          <w:r>
            <w:instrText xml:space="preserve"> PAGEREF _Toc27009 \h </w:instrText>
          </w:r>
          <w:r>
            <w:fldChar w:fldCharType="separate"/>
          </w:r>
          <w:r>
            <w:t>9</w:t>
          </w:r>
          <w:r>
            <w:fldChar w:fldCharType="end"/>
          </w:r>
          <w:r>
            <w:fldChar w:fldCharType="end"/>
          </w:r>
        </w:p>
        <w:p w14:paraId="714F550D">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_Toc10151 </w:instrText>
          </w:r>
          <w:r>
            <w:fldChar w:fldCharType="separate"/>
          </w:r>
          <w:r>
            <w:rPr>
              <w:rFonts w:hint="eastAsia"/>
            </w:rPr>
            <w:t xml:space="preserve">A.5 </w:t>
          </w:r>
          <w:r>
            <w:rPr>
              <w:rFonts w:hint="eastAsia"/>
              <w:lang w:val="en-US" w:eastAsia="zh-CN"/>
            </w:rPr>
            <w:t>综合能力维度</w:t>
          </w:r>
          <w:r>
            <w:tab/>
          </w:r>
          <w:r>
            <w:fldChar w:fldCharType="begin"/>
          </w:r>
          <w:r>
            <w:instrText xml:space="preserve"> PAGEREF _Toc10151 \h </w:instrText>
          </w:r>
          <w:r>
            <w:fldChar w:fldCharType="separate"/>
          </w:r>
          <w:r>
            <w:t>10</w:t>
          </w:r>
          <w:r>
            <w:fldChar w:fldCharType="end"/>
          </w:r>
          <w:r>
            <w:fldChar w:fldCharType="end"/>
          </w:r>
        </w:p>
        <w:p w14:paraId="604156CA">
          <w:pPr>
            <w:pStyle w:val="30"/>
            <w:keepNext w:val="0"/>
            <w:keepLines w:val="0"/>
            <w:pageBreakBefore w:val="0"/>
            <w:widowControl w:val="0"/>
            <w:tabs>
              <w:tab w:val="right" w:leader="dot" w:pos="9072"/>
              <w:tab w:val="clear" w:pos="9241"/>
            </w:tabs>
            <w:kinsoku/>
            <w:wordWrap/>
            <w:overflowPunct/>
            <w:topLinePunct w:val="0"/>
            <w:autoSpaceDE/>
            <w:autoSpaceDN/>
            <w:bidi w:val="0"/>
            <w:adjustRightInd/>
            <w:snapToGrid/>
            <w:textAlignment w:val="auto"/>
          </w:pPr>
          <w:r>
            <w:fldChar w:fldCharType="begin"/>
          </w:r>
          <w:r>
            <w:instrText xml:space="preserve"> HYPERLINK \l _Toc994 </w:instrText>
          </w:r>
          <w:r>
            <w:fldChar w:fldCharType="separate"/>
          </w:r>
          <w:r>
            <w:rPr>
              <w:rFonts w:hint="eastAsia"/>
              <w:lang w:val="en-US" w:eastAsia="zh-CN"/>
            </w:rPr>
            <w:t>A.6 综合评分汇总表</w:t>
          </w:r>
          <w:r>
            <w:tab/>
          </w:r>
          <w:r>
            <w:fldChar w:fldCharType="begin"/>
          </w:r>
          <w:r>
            <w:instrText xml:space="preserve"> PAGEREF _Toc994 \h </w:instrText>
          </w:r>
          <w:r>
            <w:fldChar w:fldCharType="separate"/>
          </w:r>
          <w:r>
            <w:t>11</w:t>
          </w:r>
          <w:r>
            <w:fldChar w:fldCharType="end"/>
          </w:r>
          <w:r>
            <w:fldChar w:fldCharType="end"/>
          </w:r>
        </w:p>
        <w:p w14:paraId="733F689E">
          <w:pPr>
            <w:pStyle w:val="21"/>
            <w:keepNext w:val="0"/>
            <w:keepLines w:val="0"/>
            <w:pageBreakBefore w:val="0"/>
            <w:widowControl w:val="0"/>
            <w:tabs>
              <w:tab w:val="right" w:leader="dot" w:pos="9072"/>
              <w:tab w:val="clear" w:pos="9241"/>
            </w:tabs>
            <w:kinsoku/>
            <w:wordWrap/>
            <w:overflowPunct/>
            <w:topLinePunct w:val="0"/>
            <w:autoSpaceDE/>
            <w:autoSpaceDN/>
            <w:bidi w:val="0"/>
            <w:adjustRightInd/>
            <w:snapToGrid/>
            <w:spacing w:beforeLines="0" w:afterLines="0"/>
            <w:textAlignment w:val="auto"/>
          </w:pPr>
          <w:r>
            <w:fldChar w:fldCharType="begin"/>
          </w:r>
          <w:r>
            <w:instrText xml:space="preserve"> HYPERLINK \l _Toc13339 </w:instrText>
          </w:r>
          <w:r>
            <w:fldChar w:fldCharType="separate"/>
          </w:r>
          <w:r>
            <w:t>参 考 文 献</w:t>
          </w:r>
          <w:r>
            <w:tab/>
          </w:r>
          <w:r>
            <w:fldChar w:fldCharType="begin"/>
          </w:r>
          <w:r>
            <w:instrText xml:space="preserve"> PAGEREF _Toc13339 \h </w:instrText>
          </w:r>
          <w:r>
            <w:fldChar w:fldCharType="separate"/>
          </w:r>
          <w:r>
            <w:t>12</w:t>
          </w:r>
          <w:r>
            <w:fldChar w:fldCharType="end"/>
          </w:r>
          <w:r>
            <w:fldChar w:fldCharType="end"/>
          </w:r>
        </w:p>
        <w:p w14:paraId="2CC85AE1">
          <w:pPr>
            <w:spacing w:after="360"/>
          </w:pPr>
          <w:r>
            <w:fldChar w:fldCharType="end"/>
          </w:r>
        </w:p>
      </w:sdtContent>
    </w:sdt>
    <w:p w14:paraId="4CF62996"/>
    <w:p w14:paraId="38AB6833">
      <w:pPr>
        <w:pStyle w:val="62"/>
        <w:tabs>
          <w:tab w:val="left" w:pos="726"/>
          <w:tab w:val="center" w:pos="4677"/>
          <w:tab w:val="left" w:pos="8302"/>
          <w:tab w:val="right" w:pos="9354"/>
        </w:tabs>
        <w:jc w:val="left"/>
      </w:pPr>
      <w:r>
        <w:tab/>
      </w:r>
      <w:r>
        <w:tab/>
      </w:r>
      <w:bookmarkStart w:id="4" w:name="_Toc25943"/>
      <w:bookmarkStart w:id="5" w:name="_Toc16017"/>
      <w:bookmarkStart w:id="6" w:name="_Toc24515"/>
      <w:r>
        <w:t>前</w:t>
      </w:r>
      <w:r>
        <w:rPr>
          <w:rFonts w:hint="eastAsia"/>
        </w:rPr>
        <w:t xml:space="preserve"> </w:t>
      </w:r>
      <w:r>
        <w:t xml:space="preserve"> 言</w:t>
      </w:r>
      <w:bookmarkEnd w:id="3"/>
      <w:bookmarkEnd w:id="4"/>
      <w:bookmarkEnd w:id="5"/>
      <w:bookmarkEnd w:id="6"/>
      <w:r>
        <w:tab/>
      </w:r>
      <w:r>
        <w:tab/>
      </w:r>
    </w:p>
    <w:p w14:paraId="22C93150">
      <w:pPr>
        <w:pStyle w:val="25"/>
      </w:pPr>
      <w:r>
        <w:rPr>
          <w:rFonts w:hint="eastAsia"/>
        </w:rPr>
        <w:t>本文件按照GB/T 1.1—2020《标准化工作导则 第1部分：标准化文件的结构和起草规则》的规定起草。</w:t>
      </w:r>
    </w:p>
    <w:p w14:paraId="1B759A2A">
      <w:pPr>
        <w:pStyle w:val="25"/>
      </w:pPr>
      <w:r>
        <w:rPr>
          <w:rFonts w:hint="eastAsia" w:hAnsi="宋体" w:cs="宋体"/>
          <w:color w:val="000000" w:themeColor="text1"/>
          <w14:textFill>
            <w14:solidFill>
              <w14:schemeClr w14:val="tx1"/>
            </w14:solidFill>
          </w14:textFill>
        </w:rPr>
        <w:t>请注意本文件的某些内容可能涉及专利。本文件的发布机构不承担识别专利的责任。</w:t>
      </w:r>
    </w:p>
    <w:p w14:paraId="09A7F768">
      <w:pPr>
        <w:pStyle w:val="25"/>
      </w:pPr>
      <w:r>
        <w:rPr>
          <w:rFonts w:hint="eastAsia"/>
        </w:rPr>
        <w:t>本文件由北京标准化协会提出并归口。</w:t>
      </w:r>
    </w:p>
    <w:p w14:paraId="0BCB0276">
      <w:pPr>
        <w:pStyle w:val="25"/>
      </w:pPr>
      <w:r>
        <w:rPr>
          <w:rFonts w:hint="eastAsia"/>
        </w:rPr>
        <w:t>本文件起草单位：</w:t>
      </w:r>
    </w:p>
    <w:p w14:paraId="062A2CC2">
      <w:pPr>
        <w:pStyle w:val="25"/>
      </w:pPr>
      <w:r>
        <w:rPr>
          <w:rFonts w:hint="eastAsia"/>
        </w:rPr>
        <w:t>本文件主要起草人：</w:t>
      </w:r>
    </w:p>
    <w:p w14:paraId="1B03B152">
      <w:pPr>
        <w:widowControl/>
        <w:jc w:val="left"/>
        <w:rPr>
          <w:rFonts w:ascii="黑体" w:eastAsia="黑体"/>
          <w:kern w:val="0"/>
          <w:sz w:val="32"/>
          <w:szCs w:val="20"/>
        </w:rPr>
      </w:pPr>
    </w:p>
    <w:p w14:paraId="77B65C05"/>
    <w:p w14:paraId="29F525BA"/>
    <w:p w14:paraId="3CB5186D"/>
    <w:p w14:paraId="0A76EEDC"/>
    <w:p w14:paraId="0FB6188F"/>
    <w:p w14:paraId="57D8E6FC"/>
    <w:p w14:paraId="372244DD"/>
    <w:p w14:paraId="38B89AAB"/>
    <w:p w14:paraId="1D12576F"/>
    <w:p w14:paraId="63B0F179"/>
    <w:p w14:paraId="162C98FC"/>
    <w:p w14:paraId="47F5AFD9"/>
    <w:p w14:paraId="3767E96E"/>
    <w:p w14:paraId="2872F362"/>
    <w:p w14:paraId="5CEFC8F2"/>
    <w:p w14:paraId="75FCDDA7"/>
    <w:p w14:paraId="00D04589"/>
    <w:p w14:paraId="5108419B"/>
    <w:p w14:paraId="44C9B0ED"/>
    <w:p w14:paraId="08953C55"/>
    <w:p w14:paraId="60384040"/>
    <w:p w14:paraId="6905BA01"/>
    <w:p w14:paraId="1BBDA1A4"/>
    <w:p w14:paraId="54EECBEC"/>
    <w:p w14:paraId="6811F12D"/>
    <w:p w14:paraId="09EF7080"/>
    <w:p w14:paraId="5215C9ED"/>
    <w:p w14:paraId="28D6E573"/>
    <w:p w14:paraId="7A04663B"/>
    <w:p w14:paraId="53B29323">
      <w:pPr>
        <w:rPr>
          <w:rFonts w:hint="eastAsia"/>
        </w:rPr>
      </w:pPr>
    </w:p>
    <w:p w14:paraId="135E4064">
      <w:pPr>
        <w:tabs>
          <w:tab w:val="left" w:pos="712"/>
        </w:tabs>
        <w:jc w:val="left"/>
        <w:sectPr>
          <w:headerReference r:id="rId5" w:type="default"/>
          <w:footerReference r:id="rId6" w:type="default"/>
          <w:footerReference r:id="rId7" w:type="even"/>
          <w:pgSz w:w="11906" w:h="16838"/>
          <w:pgMar w:top="567" w:right="1416" w:bottom="1134" w:left="1418" w:header="1418" w:footer="1134" w:gutter="0"/>
          <w:pgNumType w:fmt="upperRoman" w:start="1"/>
          <w:cols w:space="425" w:num="1"/>
          <w:formProt w:val="0"/>
          <w:docGrid w:type="lines" w:linePitch="312" w:charSpace="0"/>
        </w:sectPr>
      </w:pPr>
      <w:r>
        <w:rPr>
          <w:rFonts w:hint="eastAsia"/>
        </w:rPr>
        <w:tab/>
      </w:r>
    </w:p>
    <w:p w14:paraId="21D8E52B">
      <w:pPr>
        <w:pStyle w:val="149"/>
      </w:pPr>
      <w:bookmarkStart w:id="7" w:name="_Toc5923"/>
      <w:bookmarkStart w:id="8" w:name="_Toc3913"/>
      <w:bookmarkStart w:id="9" w:name="_Toc26450"/>
      <w:bookmarkStart w:id="10" w:name="_Toc15259"/>
      <w:r>
        <w:rPr>
          <w:rFonts w:hint="eastAsia"/>
        </w:rPr>
        <w:t>老年健康服务类专业心理照护胜任力评价指南</w:t>
      </w:r>
      <w:bookmarkEnd w:id="7"/>
      <w:bookmarkEnd w:id="8"/>
      <w:bookmarkEnd w:id="9"/>
      <w:bookmarkEnd w:id="10"/>
    </w:p>
    <w:p w14:paraId="18DC55E0">
      <w:pPr>
        <w:pStyle w:val="57"/>
        <w:spacing w:before="312" w:after="312"/>
      </w:pPr>
      <w:bookmarkStart w:id="11" w:name="_Toc8008"/>
      <w:bookmarkStart w:id="12" w:name="_Toc25476"/>
      <w:r>
        <w:t>范围</w:t>
      </w:r>
      <w:bookmarkEnd w:id="11"/>
      <w:bookmarkEnd w:id="12"/>
    </w:p>
    <w:p w14:paraId="57D72F24">
      <w:pPr>
        <w:pStyle w:val="25"/>
      </w:pPr>
      <w:r>
        <w:rPr>
          <w:rFonts w:hint="eastAsia"/>
        </w:rPr>
        <w:t>本文件提供了</w:t>
      </w:r>
      <w:r>
        <w:rPr>
          <w:rFonts w:hint="eastAsia" w:ascii="Times New Roman"/>
        </w:rPr>
        <w:t>老年健康服务类专业学生心理照护胜任力评价的</w:t>
      </w:r>
      <w:r>
        <w:rPr>
          <w:rFonts w:hint="eastAsia" w:ascii="Times New Roman"/>
          <w:lang w:val="en-US" w:eastAsia="zh-CN"/>
        </w:rPr>
        <w:t>总体原则</w:t>
      </w:r>
      <w:r>
        <w:rPr>
          <w:rFonts w:hint="eastAsia" w:ascii="Times New Roman"/>
        </w:rPr>
        <w:t>、评价指标体系、评价实施、评价结果应用与动态管理等方面的建议</w:t>
      </w:r>
      <w:r>
        <w:rPr>
          <w:rFonts w:hint="eastAsia"/>
        </w:rPr>
        <w:t>。</w:t>
      </w:r>
    </w:p>
    <w:p w14:paraId="75385DD4">
      <w:pPr>
        <w:pStyle w:val="25"/>
      </w:pPr>
      <w:r>
        <w:rPr>
          <w:rFonts w:hint="eastAsia"/>
        </w:rPr>
        <w:t>本文件适用于</w:t>
      </w:r>
      <w:r>
        <w:t>高等职业院校老年健康服务类专业学生心理照护胜任力的评价，也可供养老服务机构和相关用人单位</w:t>
      </w:r>
      <w:r>
        <w:rPr>
          <w:rFonts w:hint="eastAsia"/>
        </w:rPr>
        <w:t>开展员工心理照护胜任力评价时参考使用。</w:t>
      </w:r>
    </w:p>
    <w:p w14:paraId="0E74817C">
      <w:pPr>
        <w:pStyle w:val="57"/>
        <w:spacing w:before="312" w:after="312"/>
      </w:pPr>
      <w:bookmarkStart w:id="13" w:name="_Toc3464"/>
      <w:bookmarkStart w:id="14" w:name="_Toc19946"/>
      <w:r>
        <w:t>规范性引用文件</w:t>
      </w:r>
      <w:bookmarkEnd w:id="13"/>
      <w:bookmarkEnd w:id="14"/>
    </w:p>
    <w:p w14:paraId="26982214">
      <w:pPr>
        <w:pStyle w:val="25"/>
      </w:pPr>
      <w:r>
        <w:rPr>
          <w:rFonts w:hint="eastAsia"/>
        </w:rPr>
        <w:t>本文件没有规范性引用文件。</w:t>
      </w:r>
    </w:p>
    <w:p w14:paraId="35601D4D">
      <w:pPr>
        <w:pStyle w:val="57"/>
        <w:spacing w:before="312" w:after="312"/>
      </w:pPr>
      <w:bookmarkStart w:id="15" w:name="_Toc3619"/>
      <w:bookmarkStart w:id="16" w:name="_Toc14057"/>
      <w:r>
        <w:t>术语和定义</w:t>
      </w:r>
      <w:bookmarkEnd w:id="15"/>
      <w:bookmarkEnd w:id="16"/>
    </w:p>
    <w:p w14:paraId="4350EA1D">
      <w:pPr>
        <w:pStyle w:val="25"/>
      </w:pPr>
      <w:r>
        <w:rPr>
          <w:rFonts w:hint="eastAsia"/>
        </w:rPr>
        <w:t>下列术语和定义适用于本文件。</w:t>
      </w:r>
    </w:p>
    <w:p w14:paraId="12323DE5">
      <w:pPr>
        <w:pStyle w:val="56"/>
        <w:spacing w:before="156" w:after="156"/>
      </w:pPr>
      <w:bookmarkStart w:id="17" w:name="_Toc8905"/>
      <w:bookmarkEnd w:id="17"/>
      <w:bookmarkStart w:id="18" w:name="_Toc29674"/>
      <w:bookmarkEnd w:id="18"/>
      <w:bookmarkStart w:id="19" w:name="_Toc25106"/>
      <w:bookmarkEnd w:id="19"/>
      <w:bookmarkStart w:id="20" w:name="_Toc4338"/>
      <w:bookmarkEnd w:id="20"/>
      <w:bookmarkStart w:id="21" w:name="_Toc15052"/>
      <w:bookmarkEnd w:id="21"/>
    </w:p>
    <w:p w14:paraId="2C7D2820">
      <w:pPr>
        <w:pStyle w:val="161"/>
        <w:numPr>
          <w:ilvl w:val="2"/>
          <w:numId w:val="0"/>
        </w:numPr>
        <w:ind w:firstLine="420" w:firstLineChars="200"/>
        <w:rPr>
          <w:rFonts w:hint="eastAsia" w:ascii="黑体" w:hAnsi="黑体" w:eastAsia="黑体"/>
        </w:rPr>
      </w:pPr>
      <w:r>
        <w:rPr>
          <w:rFonts w:ascii="黑体" w:hAnsi="黑体" w:eastAsia="黑体"/>
        </w:rPr>
        <w:t>老年健康服务类专业</w:t>
      </w:r>
      <w:r>
        <w:rPr>
          <w:rFonts w:hint="eastAsia" w:ascii="黑体" w:hAnsi="黑体" w:eastAsia="黑体"/>
        </w:rPr>
        <w:t>g</w:t>
      </w:r>
      <w:r>
        <w:rPr>
          <w:rFonts w:ascii="黑体" w:hAnsi="黑体" w:eastAsia="黑体"/>
        </w:rPr>
        <w:t xml:space="preserve">eriatric </w:t>
      </w:r>
      <w:r>
        <w:rPr>
          <w:rFonts w:hint="eastAsia" w:ascii="黑体" w:hAnsi="黑体" w:eastAsia="黑体"/>
        </w:rPr>
        <w:t>h</w:t>
      </w:r>
      <w:r>
        <w:rPr>
          <w:rFonts w:ascii="黑体" w:hAnsi="黑体" w:eastAsia="黑体"/>
        </w:rPr>
        <w:t xml:space="preserve">ealth </w:t>
      </w:r>
      <w:r>
        <w:rPr>
          <w:rFonts w:hint="eastAsia" w:ascii="黑体" w:hAnsi="黑体" w:eastAsia="黑体"/>
        </w:rPr>
        <w:t>s</w:t>
      </w:r>
      <w:r>
        <w:rPr>
          <w:rFonts w:ascii="黑体" w:hAnsi="黑体" w:eastAsia="黑体"/>
        </w:rPr>
        <w:t xml:space="preserve">ervice-related </w:t>
      </w:r>
      <w:r>
        <w:rPr>
          <w:rFonts w:hint="eastAsia" w:ascii="黑体" w:hAnsi="黑体" w:eastAsia="黑体"/>
        </w:rPr>
        <w:t>m</w:t>
      </w:r>
      <w:r>
        <w:rPr>
          <w:rFonts w:ascii="黑体" w:hAnsi="黑体" w:eastAsia="黑体"/>
        </w:rPr>
        <w:t>ajors</w:t>
      </w:r>
    </w:p>
    <w:p w14:paraId="5879145D">
      <w:pPr>
        <w:pStyle w:val="49"/>
        <w:ind w:firstLine="420"/>
      </w:pPr>
      <w:r>
        <w:t>面向老年人提供健康管理、生活照护、心理照护、康复辅助等服务的职业教育专业类别</w:t>
      </w:r>
      <w:r>
        <w:rPr>
          <w:rFonts w:hint="eastAsia"/>
        </w:rPr>
        <w:t>。</w:t>
      </w:r>
    </w:p>
    <w:p w14:paraId="380F0B3A">
      <w:pPr>
        <w:pStyle w:val="49"/>
        <w:ind w:firstLine="420"/>
      </w:pPr>
      <w:r>
        <w:rPr>
          <w:rFonts w:hint="eastAsia"/>
        </w:rPr>
        <w:t>注：</w:t>
      </w:r>
      <w:r>
        <w:t>包括</w:t>
      </w:r>
      <w:r>
        <w:rPr>
          <w:rFonts w:hint="eastAsia"/>
        </w:rPr>
        <w:t>但不限于</w:t>
      </w:r>
      <w:r>
        <w:t>老年保健与管理、智慧健康养老服务与管理、护理（老年护理方向）、健康管理等专业。</w:t>
      </w:r>
    </w:p>
    <w:p w14:paraId="342E88F0">
      <w:pPr>
        <w:pStyle w:val="56"/>
        <w:spacing w:before="156" w:after="156"/>
      </w:pPr>
      <w:bookmarkStart w:id="22" w:name="_Toc3489"/>
      <w:bookmarkEnd w:id="22"/>
      <w:bookmarkStart w:id="23" w:name="_Toc4316"/>
      <w:bookmarkEnd w:id="23"/>
      <w:bookmarkStart w:id="24" w:name="_Toc23942"/>
      <w:bookmarkEnd w:id="24"/>
      <w:bookmarkStart w:id="25" w:name="_Toc19479"/>
      <w:bookmarkEnd w:id="25"/>
    </w:p>
    <w:p w14:paraId="784822FF">
      <w:pPr>
        <w:pStyle w:val="161"/>
        <w:numPr>
          <w:ilvl w:val="2"/>
          <w:numId w:val="0"/>
        </w:numPr>
        <w:ind w:firstLine="420" w:firstLineChars="200"/>
        <w:rPr>
          <w:rFonts w:hint="eastAsia" w:ascii="黑体" w:hAnsi="黑体" w:eastAsia="黑体"/>
        </w:rPr>
      </w:pPr>
      <w:r>
        <w:rPr>
          <w:rFonts w:hint="eastAsia" w:ascii="黑体" w:hAnsi="黑体" w:eastAsia="黑体"/>
        </w:rPr>
        <w:t>心理照护p</w:t>
      </w:r>
      <w:r>
        <w:rPr>
          <w:rFonts w:ascii="黑体" w:hAnsi="黑体" w:eastAsia="黑体"/>
        </w:rPr>
        <w:t xml:space="preserve">sychological </w:t>
      </w:r>
      <w:r>
        <w:rPr>
          <w:rFonts w:hint="eastAsia" w:ascii="黑体" w:hAnsi="黑体" w:eastAsia="黑体"/>
        </w:rPr>
        <w:t>c</w:t>
      </w:r>
      <w:r>
        <w:rPr>
          <w:rFonts w:ascii="黑体" w:hAnsi="黑体" w:eastAsia="黑体"/>
        </w:rPr>
        <w:t>are</w:t>
      </w:r>
    </w:p>
    <w:p w14:paraId="0273793E">
      <w:pPr>
        <w:ind w:firstLine="420" w:firstLineChars="200"/>
        <w:rPr>
          <w:kern w:val="0"/>
          <w:szCs w:val="20"/>
        </w:rPr>
      </w:pPr>
      <w:r>
        <w:rPr>
          <w:kern w:val="0"/>
          <w:szCs w:val="20"/>
        </w:rPr>
        <w:t>以维护和促进老年人心理健康为目标，运用心理学及相关学科的理论与方法，为老年人提供心理评估、心理支持、情绪疏导、危机干预、认知促进、临终心理关怀等服务的专业行为。</w:t>
      </w:r>
    </w:p>
    <w:p w14:paraId="22FEE284">
      <w:pPr>
        <w:pStyle w:val="56"/>
        <w:spacing w:before="156" w:after="156"/>
      </w:pPr>
      <w:bookmarkStart w:id="26" w:name="_Toc28149"/>
      <w:bookmarkEnd w:id="26"/>
      <w:bookmarkStart w:id="27" w:name="_Toc18018"/>
      <w:bookmarkEnd w:id="27"/>
      <w:bookmarkStart w:id="28" w:name="_Toc1533"/>
      <w:bookmarkEnd w:id="28"/>
      <w:bookmarkStart w:id="29" w:name="_Toc19030"/>
      <w:bookmarkEnd w:id="29"/>
    </w:p>
    <w:p w14:paraId="2744B521">
      <w:pPr>
        <w:pStyle w:val="161"/>
        <w:numPr>
          <w:ilvl w:val="0"/>
          <w:numId w:val="0"/>
        </w:numPr>
        <w:ind w:left="420"/>
        <w:rPr>
          <w:rFonts w:hint="eastAsia" w:ascii="黑体" w:hAnsi="黑体" w:eastAsia="黑体"/>
        </w:rPr>
      </w:pPr>
      <w:r>
        <w:rPr>
          <w:rFonts w:hint="eastAsia" w:ascii="黑体" w:hAnsi="黑体" w:eastAsia="黑体"/>
        </w:rPr>
        <w:t>心理照护胜任力p</w:t>
      </w:r>
      <w:r>
        <w:rPr>
          <w:rFonts w:ascii="黑体" w:hAnsi="黑体" w:eastAsia="黑体"/>
        </w:rPr>
        <w:t xml:space="preserve">sychological </w:t>
      </w:r>
      <w:r>
        <w:rPr>
          <w:rFonts w:hint="eastAsia" w:ascii="黑体" w:hAnsi="黑体" w:eastAsia="黑体"/>
        </w:rPr>
        <w:t>c</w:t>
      </w:r>
      <w:r>
        <w:rPr>
          <w:rFonts w:ascii="黑体" w:hAnsi="黑体" w:eastAsia="黑体"/>
        </w:rPr>
        <w:t xml:space="preserve">are </w:t>
      </w:r>
      <w:r>
        <w:rPr>
          <w:rFonts w:hint="eastAsia" w:ascii="黑体" w:hAnsi="黑体" w:eastAsia="黑体"/>
        </w:rPr>
        <w:t>c</w:t>
      </w:r>
      <w:r>
        <w:rPr>
          <w:rFonts w:ascii="黑体" w:hAnsi="黑体" w:eastAsia="黑体"/>
        </w:rPr>
        <w:t>ompetency</w:t>
      </w:r>
    </w:p>
    <w:p w14:paraId="333FFEE3">
      <w:pPr>
        <w:pStyle w:val="161"/>
        <w:numPr>
          <w:ilvl w:val="0"/>
          <w:numId w:val="0"/>
        </w:numPr>
        <w:ind w:left="420"/>
        <w:rPr>
          <w:rFonts w:hint="eastAsia" w:ascii="Times New Roman"/>
        </w:rPr>
      </w:pPr>
      <w:r>
        <w:rPr>
          <w:rFonts w:ascii="Times New Roman"/>
        </w:rPr>
        <w:t>个体在老年健康服务岗位中有效完成心理照护任务所具备的知识、技能、态度和综合能力的</w:t>
      </w:r>
      <w:r>
        <w:rPr>
          <w:rFonts w:hint="eastAsia" w:ascii="Times New Roman"/>
        </w:rPr>
        <w:t>有</w:t>
      </w:r>
    </w:p>
    <w:p w14:paraId="29DD864A">
      <w:pPr>
        <w:pStyle w:val="161"/>
        <w:numPr>
          <w:ilvl w:val="0"/>
          <w:numId w:val="0"/>
        </w:numPr>
        <w:rPr>
          <w:rFonts w:ascii="Times New Roman"/>
        </w:rPr>
      </w:pPr>
      <w:r>
        <w:rPr>
          <w:rFonts w:hint="eastAsia" w:ascii="Times New Roman"/>
        </w:rPr>
        <w:t>机整合。它可通过行为表现观察和评价，是综合性职业素养的体现。</w:t>
      </w:r>
    </w:p>
    <w:p w14:paraId="3700BD9A">
      <w:pPr>
        <w:pStyle w:val="57"/>
        <w:spacing w:before="312" w:after="312"/>
      </w:pPr>
      <w:bookmarkStart w:id="30" w:name="_Toc102"/>
      <w:bookmarkEnd w:id="30"/>
      <w:bookmarkStart w:id="31" w:name="_Toc2153"/>
      <w:r>
        <w:rPr>
          <w:rFonts w:hint="eastAsia"/>
        </w:rPr>
        <w:t>总体原则</w:t>
      </w:r>
      <w:bookmarkEnd w:id="31"/>
    </w:p>
    <w:p w14:paraId="32768B52">
      <w:pPr>
        <w:pStyle w:val="25"/>
        <w:bidi w:val="0"/>
        <w:rPr>
          <w:rFonts w:hint="eastAsia"/>
          <w:lang w:val="en-US" w:eastAsia="zh-CN"/>
        </w:rPr>
      </w:pPr>
      <w:r>
        <w:rPr>
          <w:rFonts w:hint="eastAsia"/>
          <w:lang w:val="en-US" w:eastAsia="zh-CN"/>
        </w:rPr>
        <w:t>老年健康服务类专业心理照护胜任力评价宜遵循以下总体原则：</w:t>
      </w:r>
    </w:p>
    <w:p w14:paraId="313397A1">
      <w:pPr>
        <w:pStyle w:val="51"/>
        <w:numPr>
          <w:ilvl w:val="2"/>
          <w:numId w:val="0"/>
        </w:numPr>
        <w:bidi w:val="0"/>
        <w:rPr>
          <w:rFonts w:hint="eastAsia"/>
          <w:lang w:val="en-US" w:eastAsia="zh-CN"/>
        </w:rPr>
      </w:pPr>
      <w:bookmarkStart w:id="32" w:name="_Toc31840"/>
      <w:r>
        <w:rPr>
          <w:rFonts w:hint="eastAsia"/>
          <w:color w:val="000000"/>
          <w:lang w:val="en-US" w:eastAsia="zh-CN"/>
          <w14:scene3d>
            <w14:lightRig w14:rig="threePt" w14:dir="t">
              <w14:rot w14:lat="0" w14:lon="0" w14:rev="0"/>
            </w14:lightRig>
          </w14:scene3d>
        </w:rPr>
        <w:t xml:space="preserve">4.1 </w:t>
      </w:r>
      <w:r>
        <w:rPr>
          <w:rFonts w:hint="eastAsia"/>
          <w:color w:val="000000"/>
          <w14:scene3d>
            <w14:lightRig w14:rig="threePt" w14:dir="t">
              <w14:rot w14:lat="0" w14:lon="0" w14:rev="0"/>
            </w14:lightRig>
          </w14:scene3d>
        </w:rPr>
        <w:t>目标导向原则</w:t>
      </w:r>
      <w:bookmarkEnd w:id="32"/>
      <w:r>
        <w:rPr>
          <w:rFonts w:hint="eastAsia"/>
          <w:lang w:val="en-US" w:eastAsia="zh-CN"/>
        </w:rPr>
        <w:t xml:space="preserve">  </w:t>
      </w:r>
    </w:p>
    <w:p w14:paraId="426BCFFD">
      <w:pPr>
        <w:pStyle w:val="25"/>
        <w:bidi w:val="0"/>
        <w:rPr>
          <w:rFonts w:hint="eastAsia"/>
          <w:lang w:val="en-US" w:eastAsia="zh-CN"/>
        </w:rPr>
      </w:pPr>
      <w:r>
        <w:rPr>
          <w:rFonts w:hint="eastAsia"/>
          <w:lang w:val="en-US" w:eastAsia="zh-CN"/>
        </w:rPr>
        <w:t>心理照护胜任力评价以促进学生能力发展和满足岗位需求为导向，旨在诊断能力发展的优势与短板，为教学改进提供依据；用于判断学生是否达到岗位胜任的基本要求，为顶岗实习安排和毕业资格认定提供参考；为用人单位的人员选拔、岗位匹配和在职培训提供依据，并为专业人才培养方案的持续优化提供数据支撑。</w:t>
      </w:r>
    </w:p>
    <w:p w14:paraId="229C2FBE">
      <w:pPr>
        <w:pStyle w:val="51"/>
        <w:numPr>
          <w:ilvl w:val="2"/>
          <w:numId w:val="0"/>
        </w:numPr>
        <w:bidi w:val="0"/>
        <w:rPr>
          <w:rFonts w:hint="eastAsia"/>
          <w:color w:val="000000"/>
          <w:lang w:val="en-US" w:eastAsia="zh-CN"/>
          <w14:scene3d>
            <w14:lightRig w14:rig="threePt" w14:dir="t">
              <w14:rot w14:lat="0" w14:lon="0" w14:rev="0"/>
            </w14:lightRig>
          </w14:scene3d>
        </w:rPr>
      </w:pPr>
      <w:bookmarkStart w:id="33" w:name="_Toc3289"/>
      <w:r>
        <w:rPr>
          <w:rFonts w:hint="eastAsia"/>
          <w:color w:val="000000"/>
          <w:lang w:val="en-US" w:eastAsia="zh-CN"/>
          <w14:scene3d>
            <w14:lightRig w14:rig="threePt" w14:dir="t">
              <w14:rot w14:lat="0" w14:lon="0" w14:rev="0"/>
            </w14:lightRig>
          </w14:scene3d>
        </w:rPr>
        <w:t>4.2 科学规范原则</w:t>
      </w:r>
      <w:bookmarkEnd w:id="33"/>
    </w:p>
    <w:p w14:paraId="51D9F3E3">
      <w:pPr>
        <w:pStyle w:val="25"/>
        <w:bidi w:val="0"/>
        <w:rPr>
          <w:rFonts w:hint="eastAsia"/>
          <w:lang w:val="en-US" w:eastAsia="zh-CN"/>
        </w:rPr>
      </w:pPr>
      <w:r>
        <w:rPr>
          <w:rFonts w:hint="eastAsia"/>
          <w:lang w:val="en-US" w:eastAsia="zh-CN"/>
        </w:rPr>
        <w:t>评价指标基于心理照护胜任力的理论框架和岗位实际需求，力求具体明确、行为化、可观察、可测量。评价工具宜经过信度与效度检验，评价内容覆盖知识、技能、态度和综合应用等层面，兼顾基础性能力与高阶能力。评价流程力求简便可行，便于各类评价主体实施；评价标准保持统一明确，评价过程确保规范透明，评价结果确保客观公正，避免主观偏见。</w:t>
      </w:r>
    </w:p>
    <w:p w14:paraId="79090864">
      <w:pPr>
        <w:pStyle w:val="51"/>
        <w:numPr>
          <w:ilvl w:val="2"/>
          <w:numId w:val="0"/>
        </w:numPr>
        <w:bidi w:val="0"/>
        <w:rPr>
          <w:rFonts w:hint="eastAsia"/>
          <w:color w:val="000000"/>
          <w:lang w:val="en-US" w:eastAsia="zh-CN"/>
          <w14:scene3d>
            <w14:lightRig w14:rig="threePt" w14:dir="t">
              <w14:rot w14:lat="0" w14:lon="0" w14:rev="0"/>
            </w14:lightRig>
          </w14:scene3d>
        </w:rPr>
      </w:pPr>
      <w:bookmarkStart w:id="34" w:name="_Toc29061"/>
      <w:r>
        <w:rPr>
          <w:rFonts w:hint="eastAsia"/>
          <w:color w:val="000000"/>
          <w:lang w:val="en-US" w:eastAsia="zh-CN"/>
          <w14:scene3d>
            <w14:lightRig w14:rig="threePt" w14:dir="t">
              <w14:rot w14:lat="0" w14:lon="0" w14:rev="0"/>
            </w14:lightRig>
          </w14:scene3d>
        </w:rPr>
        <w:t>4.3 动态发展原则</w:t>
      </w:r>
      <w:bookmarkEnd w:id="34"/>
    </w:p>
    <w:p w14:paraId="46D0C31F">
      <w:pPr>
        <w:pStyle w:val="25"/>
        <w:bidi w:val="0"/>
        <w:rPr>
          <w:rFonts w:hint="eastAsia"/>
          <w:lang w:val="en-US" w:eastAsia="zh-CN"/>
        </w:rPr>
      </w:pPr>
      <w:r>
        <w:rPr>
          <w:rFonts w:hint="eastAsia"/>
          <w:lang w:val="en-US" w:eastAsia="zh-CN"/>
        </w:rPr>
        <w:t>评价贯穿人才培养全过程，注重过程性评价与结果性评价相结合。评价数据系统记录、动态更新，形成学生个体的能力发展档案，反映能力发展的动态轨迹。建立由教育专家、行业专家、一线工作者等多元主体参与的动态管理机制，根据行业发展趋势、岗位需求变化及评价实践反馈，及时调整和优化评价指标及评分标准。</w:t>
      </w:r>
    </w:p>
    <w:p w14:paraId="0A4ADD61">
      <w:pPr>
        <w:pStyle w:val="50"/>
        <w:numPr>
          <w:ilvl w:val="1"/>
          <w:numId w:val="0"/>
        </w:numPr>
        <w:bidi w:val="0"/>
        <w:rPr>
          <w:rFonts w:hint="eastAsia"/>
          <w:lang w:val="en-US" w:eastAsia="zh-CN"/>
        </w:rPr>
      </w:pPr>
      <w:bookmarkStart w:id="35" w:name="_Toc12198"/>
      <w:r>
        <w:rPr>
          <w:rFonts w:hint="eastAsia"/>
          <w:lang w:val="en-US" w:eastAsia="zh-CN"/>
        </w:rPr>
        <w:t>5 评价指标体系</w:t>
      </w:r>
      <w:bookmarkEnd w:id="35"/>
    </w:p>
    <w:p w14:paraId="5C663E53">
      <w:pPr>
        <w:pStyle w:val="51"/>
        <w:numPr>
          <w:ilvl w:val="2"/>
          <w:numId w:val="0"/>
        </w:numPr>
        <w:spacing w:before="156" w:after="156"/>
      </w:pPr>
      <w:bookmarkStart w:id="36" w:name="_Toc25986"/>
      <w:r>
        <w:rPr>
          <w:rFonts w:hint="eastAsia"/>
          <w:color w:val="000000"/>
          <w14:scene3d>
            <w14:lightRig w14:rig="threePt" w14:dir="t">
              <w14:rot w14:lat="0" w14:lon="0" w14:rev="0"/>
            </w14:lightRig>
          </w14:scene3d>
        </w:rPr>
        <w:t>5.</w:t>
      </w:r>
      <w:r>
        <w:rPr>
          <w:rFonts w:hint="eastAsia"/>
          <w:color w:val="000000"/>
          <w:lang w:val="en-US" w:eastAsia="zh-CN"/>
          <w14:scene3d>
            <w14:lightRig w14:rig="threePt" w14:dir="t">
              <w14:rot w14:lat="0" w14:lon="0" w14:rev="0"/>
            </w14:lightRig>
          </w14:scene3d>
        </w:rPr>
        <w:t>1</w:t>
      </w:r>
      <w:r>
        <w:rPr>
          <w:rFonts w:hint="eastAsia"/>
          <w:color w:val="000000"/>
          <w14:scene3d>
            <w14:lightRig w14:rig="threePt" w14:dir="t">
              <w14:rot w14:lat="0" w14:lon="0" w14:rev="0"/>
            </w14:lightRig>
          </w14:scene3d>
        </w:rPr>
        <w:t>　</w:t>
      </w:r>
      <w:r>
        <w:rPr>
          <w:rFonts w:hint="eastAsia"/>
        </w:rPr>
        <w:t>指标体系框架</w:t>
      </w:r>
      <w:bookmarkEnd w:id="36"/>
    </w:p>
    <w:p w14:paraId="5971E605">
      <w:pPr>
        <w:pStyle w:val="25"/>
        <w:rPr>
          <w:rFonts w:ascii="Times New Roman"/>
        </w:rPr>
      </w:pPr>
      <w:r>
        <w:rPr>
          <w:rFonts w:hint="eastAsia" w:ascii="Times New Roman"/>
        </w:rPr>
        <w:drawing>
          <wp:anchor distT="0" distB="0" distL="114300" distR="114300" simplePos="0" relativeHeight="251664384" behindDoc="0" locked="0" layoutInCell="1" allowOverlap="1">
            <wp:simplePos x="0" y="0"/>
            <wp:positionH relativeFrom="column">
              <wp:posOffset>-229235</wp:posOffset>
            </wp:positionH>
            <wp:positionV relativeFrom="paragraph">
              <wp:posOffset>382270</wp:posOffset>
            </wp:positionV>
            <wp:extent cx="5937885" cy="2439670"/>
            <wp:effectExtent l="0" t="0" r="5715" b="8255"/>
            <wp:wrapNone/>
            <wp:docPr id="6" name="图片 6" descr="老年健康服务类专业心理照护胜任力评价指标体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老年健康服务类专业心理照护胜任力评价指标体系"/>
                    <pic:cNvPicPr>
                      <a:picLocks noChangeAspect="1"/>
                    </pic:cNvPicPr>
                  </pic:nvPicPr>
                  <pic:blipFill>
                    <a:blip r:embed="rId12"/>
                    <a:stretch>
                      <a:fillRect/>
                    </a:stretch>
                  </pic:blipFill>
                  <pic:spPr>
                    <a:xfrm>
                      <a:off x="0" y="0"/>
                      <a:ext cx="5937885" cy="2439670"/>
                    </a:xfrm>
                    <a:prstGeom prst="rect">
                      <a:avLst/>
                    </a:prstGeom>
                  </pic:spPr>
                </pic:pic>
              </a:graphicData>
            </a:graphic>
          </wp:anchor>
        </w:drawing>
      </w:r>
      <w:r>
        <w:rPr>
          <w:rFonts w:hint="eastAsia" w:ascii="Times New Roman"/>
        </w:rPr>
        <w:t>评价指标体系以“</w:t>
      </w:r>
      <w:r>
        <w:rPr>
          <w:rFonts w:ascii="Segoe UI" w:hAnsi="Segoe UI" w:eastAsia="Segoe UI" w:cs="Segoe UI"/>
          <w:color w:val="0F1115"/>
          <w:sz w:val="22"/>
          <w:szCs w:val="22"/>
          <w:shd w:val="clear" w:color="auto" w:fill="FFFFFF"/>
        </w:rPr>
        <w:t>心理照护胜任力模型</w:t>
      </w:r>
      <w:r>
        <w:rPr>
          <w:rFonts w:hint="eastAsia" w:ascii="Times New Roman"/>
        </w:rPr>
        <w:t>”</w:t>
      </w:r>
      <w:r>
        <w:rPr>
          <w:rFonts w:ascii="Segoe UI" w:hAnsi="Segoe UI" w:eastAsia="Segoe UI" w:cs="Segoe UI"/>
          <w:color w:val="0F1115"/>
          <w:sz w:val="22"/>
          <w:szCs w:val="22"/>
          <w:shd w:val="clear" w:color="auto" w:fill="FFFFFF"/>
        </w:rPr>
        <w:t>为理论框架</w:t>
      </w:r>
      <w:r>
        <w:rPr>
          <w:rFonts w:hint="eastAsia" w:ascii="Segoe UI" w:hAnsi="Segoe UI" w:cs="Segoe UI"/>
          <w:color w:val="0F1115"/>
          <w:sz w:val="22"/>
          <w:szCs w:val="22"/>
          <w:shd w:val="clear" w:color="auto" w:fill="FFFFFF"/>
        </w:rPr>
        <w:t>，</w:t>
      </w:r>
      <w:r>
        <w:rPr>
          <w:rFonts w:hint="eastAsia" w:ascii="Times New Roman"/>
        </w:rPr>
        <w:t>由4个一级指标（维度）、12个二级指标和若干三级指标（评价要点）构成。评价指标体系框架图见图1</w:t>
      </w:r>
    </w:p>
    <w:p w14:paraId="01922EED">
      <w:pPr>
        <w:pStyle w:val="25"/>
        <w:rPr>
          <w:rFonts w:ascii="Times New Roman"/>
        </w:rPr>
      </w:pPr>
    </w:p>
    <w:p w14:paraId="601EFD28">
      <w:pPr>
        <w:pStyle w:val="25"/>
        <w:rPr>
          <w:rFonts w:ascii="Times New Roman"/>
        </w:rPr>
      </w:pPr>
    </w:p>
    <w:p w14:paraId="1FE2D72E">
      <w:pPr>
        <w:pStyle w:val="25"/>
        <w:rPr>
          <w:rFonts w:ascii="Times New Roman"/>
        </w:rPr>
      </w:pPr>
    </w:p>
    <w:p w14:paraId="5C65B103">
      <w:pPr>
        <w:pStyle w:val="25"/>
        <w:rPr>
          <w:rFonts w:ascii="Times New Roman"/>
        </w:rPr>
      </w:pPr>
    </w:p>
    <w:p w14:paraId="4444ADDC">
      <w:pPr>
        <w:pStyle w:val="25"/>
        <w:rPr>
          <w:rFonts w:ascii="Times New Roman"/>
        </w:rPr>
      </w:pPr>
    </w:p>
    <w:p w14:paraId="19CEAEBC">
      <w:pPr>
        <w:pStyle w:val="25"/>
        <w:rPr>
          <w:rFonts w:ascii="Times New Roman"/>
        </w:rPr>
      </w:pPr>
    </w:p>
    <w:p w14:paraId="291225A9">
      <w:pPr>
        <w:pStyle w:val="25"/>
        <w:rPr>
          <w:rFonts w:ascii="Times New Roman"/>
        </w:rPr>
      </w:pPr>
    </w:p>
    <w:p w14:paraId="383B832F">
      <w:pPr>
        <w:pStyle w:val="25"/>
        <w:rPr>
          <w:rFonts w:ascii="Times New Roman"/>
        </w:rPr>
      </w:pPr>
    </w:p>
    <w:p w14:paraId="5E248427">
      <w:pPr>
        <w:pStyle w:val="25"/>
        <w:rPr>
          <w:rFonts w:ascii="Times New Roman"/>
        </w:rPr>
      </w:pPr>
    </w:p>
    <w:p w14:paraId="39EEC374">
      <w:pPr>
        <w:pStyle w:val="25"/>
        <w:rPr>
          <w:rFonts w:ascii="Times New Roman"/>
        </w:rPr>
      </w:pPr>
    </w:p>
    <w:p w14:paraId="17CD1993">
      <w:pPr>
        <w:pStyle w:val="25"/>
        <w:rPr>
          <w:rFonts w:ascii="Times New Roman"/>
        </w:rPr>
      </w:pPr>
    </w:p>
    <w:p w14:paraId="325AED7A">
      <w:pPr>
        <w:pStyle w:val="25"/>
        <w:rPr>
          <w:rFonts w:ascii="Times New Roman"/>
        </w:rPr>
      </w:pPr>
    </w:p>
    <w:p w14:paraId="65552953">
      <w:pPr>
        <w:pStyle w:val="25"/>
        <w:rPr>
          <w:rFonts w:ascii="Times New Roman"/>
        </w:rPr>
      </w:pPr>
    </w:p>
    <w:p w14:paraId="0F1F4459">
      <w:pPr>
        <w:pStyle w:val="25"/>
        <w:jc w:val="center"/>
        <w:rPr>
          <w:rFonts w:ascii="Times New Roman"/>
        </w:rPr>
      </w:pPr>
      <w:r>
        <w:rPr>
          <w:rFonts w:hint="eastAsia" w:ascii="Times New Roman"/>
        </w:rPr>
        <w:t>图1 老年健康服务类专业心理照护胜任力评价指标体系框架</w:t>
      </w:r>
      <w:bookmarkStart w:id="37" w:name="_Toc13605"/>
    </w:p>
    <w:p w14:paraId="3D8DD316">
      <w:pPr>
        <w:pStyle w:val="25"/>
        <w:ind w:firstLine="400"/>
        <w:rPr>
          <w:rFonts w:hint="eastAsia" w:ascii="Times New Roman" w:eastAsia="宋体"/>
          <w:sz w:val="20"/>
          <w:szCs w:val="18"/>
          <w:lang w:eastAsia="zh-CN"/>
        </w:rPr>
      </w:pPr>
      <w:r>
        <w:rPr>
          <w:rFonts w:hint="eastAsia" w:ascii="Times New Roman"/>
          <w:sz w:val="20"/>
          <w:szCs w:val="18"/>
        </w:rPr>
        <w:t>注：各二级指标下的具体评价要点（三级指标）见5.2～5.5。指标权重分配及评分标准见5.6</w:t>
      </w:r>
      <w:r>
        <w:rPr>
          <w:rFonts w:hint="eastAsia" w:ascii="Times New Roman"/>
          <w:sz w:val="20"/>
          <w:szCs w:val="18"/>
          <w:lang w:eastAsia="zh-CN"/>
        </w:rPr>
        <w:t>。</w:t>
      </w:r>
    </w:p>
    <w:p w14:paraId="04E7DB25">
      <w:pPr>
        <w:pStyle w:val="51"/>
        <w:numPr>
          <w:ilvl w:val="2"/>
          <w:numId w:val="0"/>
        </w:numPr>
        <w:spacing w:before="156" w:after="156"/>
      </w:pPr>
      <w:bookmarkStart w:id="38" w:name="_Toc239088363"/>
      <w:bookmarkStart w:id="39" w:name="_Toc5407"/>
      <w:r>
        <w:rPr>
          <w:rFonts w:hint="eastAsia"/>
          <w:color w:val="000000"/>
          <w14:scene3d>
            <w14:lightRig w14:rig="threePt" w14:dir="t">
              <w14:rot w14:lat="0" w14:lon="0" w14:rev="0"/>
            </w14:lightRig>
          </w14:scene3d>
        </w:rPr>
        <w:t>5.2　</w:t>
      </w:r>
      <w:r>
        <w:rPr>
          <w:rFonts w:hint="eastAsia"/>
        </w:rPr>
        <w:t>基础能力维度</w:t>
      </w:r>
      <w:bookmarkEnd w:id="38"/>
      <w:bookmarkEnd w:id="39"/>
    </w:p>
    <w:p w14:paraId="4DCEE059">
      <w:pPr>
        <w:pStyle w:val="47"/>
        <w:numPr>
          <w:ilvl w:val="3"/>
          <w:numId w:val="0"/>
        </w:numPr>
      </w:pPr>
      <w:r>
        <w:rPr>
          <w:rFonts w:hint="eastAsia" w:ascii="黑体" w:eastAsia="黑体"/>
        </w:rPr>
        <w:t>5.2.1　</w:t>
      </w:r>
      <w:r>
        <w:t>老年心理基础知识</w:t>
      </w:r>
    </w:p>
    <w:p w14:paraId="1481A23B">
      <w:pPr>
        <w:pStyle w:val="47"/>
        <w:numPr>
          <w:ilvl w:val="3"/>
          <w:numId w:val="0"/>
        </w:numPr>
        <w:ind w:firstLine="420" w:firstLineChars="200"/>
      </w:pPr>
      <w:r>
        <w:rPr>
          <w:rFonts w:hint="eastAsia"/>
        </w:rPr>
        <w:t>本指标的评价要点包括：</w:t>
      </w:r>
    </w:p>
    <w:p w14:paraId="4C397A7D">
      <w:pPr>
        <w:pStyle w:val="163"/>
        <w:ind w:left="845" w:leftChars="200" w:hanging="425"/>
      </w:pPr>
      <w:r>
        <w:t>掌握老年期心理发展特点及主要理论；</w:t>
      </w:r>
    </w:p>
    <w:p w14:paraId="541CEB12">
      <w:pPr>
        <w:pStyle w:val="163"/>
        <w:ind w:left="845" w:leftChars="200" w:hanging="425"/>
      </w:pPr>
      <w:r>
        <w:t>掌握老年人常见心理问题（如抑郁、焦虑、孤独、认知障碍等）的临床表现与识别要点；</w:t>
      </w:r>
    </w:p>
    <w:p w14:paraId="7472ED53">
      <w:pPr>
        <w:pStyle w:val="163"/>
        <w:ind w:left="845" w:leftChars="200" w:hanging="425"/>
      </w:pPr>
      <w:r>
        <w:t>了解老年人心理健康的评估工具及其适用范围；</w:t>
      </w:r>
    </w:p>
    <w:p w14:paraId="7807768B">
      <w:pPr>
        <w:pStyle w:val="163"/>
        <w:ind w:left="845" w:leftChars="200" w:hanging="425"/>
      </w:pPr>
      <w:r>
        <w:t>了解社会心理因素（如丧偶、退休、空巢、慢性疾病等）对老年人心理健康的影响机制；</w:t>
      </w:r>
    </w:p>
    <w:p w14:paraId="515BBA31">
      <w:pPr>
        <w:pStyle w:val="163"/>
        <w:ind w:left="845" w:leftChars="200" w:hanging="425"/>
      </w:pPr>
      <w:r>
        <w:t>了解老年心理照护相关的法律法规和政策要求。</w:t>
      </w:r>
    </w:p>
    <w:p w14:paraId="4702C1D7">
      <w:pPr>
        <w:pStyle w:val="47"/>
        <w:numPr>
          <w:ilvl w:val="3"/>
          <w:numId w:val="0"/>
        </w:numPr>
      </w:pPr>
      <w:r>
        <w:rPr>
          <w:rFonts w:hint="eastAsia" w:ascii="黑体" w:eastAsia="黑体"/>
        </w:rPr>
        <w:t>5.2.2　</w:t>
      </w:r>
      <w:r>
        <w:rPr>
          <w:rFonts w:hint="eastAsia"/>
        </w:rPr>
        <w:t>基本沟通与观察能力</w:t>
      </w:r>
    </w:p>
    <w:p w14:paraId="4FD33F5A">
      <w:pPr>
        <w:pStyle w:val="47"/>
        <w:numPr>
          <w:ilvl w:val="3"/>
          <w:numId w:val="0"/>
        </w:numPr>
        <w:ind w:firstLine="420" w:firstLineChars="200"/>
      </w:pPr>
      <w:r>
        <w:rPr>
          <w:rFonts w:hint="eastAsia"/>
        </w:rPr>
        <w:t>本指标的评价要点包括：</w:t>
      </w:r>
    </w:p>
    <w:p w14:paraId="76324F43">
      <w:pPr>
        <w:pStyle w:val="163"/>
        <w:ind w:left="845" w:leftChars="200" w:hanging="425"/>
      </w:pPr>
      <w:r>
        <w:t>能够运用倾听、共情、澄清、反馈等基本沟通技巧与老年人建立信任关系；</w:t>
      </w:r>
    </w:p>
    <w:p w14:paraId="0317A8F1">
      <w:pPr>
        <w:pStyle w:val="163"/>
        <w:ind w:left="845" w:leftChars="200" w:hanging="425"/>
      </w:pPr>
      <w:r>
        <w:t>能够通过言语和非言语线索观察老年人的情绪状态和行为变化；</w:t>
      </w:r>
    </w:p>
    <w:p w14:paraId="3DB8D2BC">
      <w:pPr>
        <w:pStyle w:val="163"/>
        <w:ind w:left="845" w:leftChars="200" w:hanging="425"/>
      </w:pPr>
      <w:r>
        <w:t>能够根据老年人的文化背景、认知水平和个性特点调整沟通方式；</w:t>
      </w:r>
    </w:p>
    <w:p w14:paraId="76793E14">
      <w:pPr>
        <w:pStyle w:val="163"/>
        <w:ind w:left="845" w:leftChars="200" w:hanging="425"/>
      </w:pPr>
      <w:r>
        <w:t>能够使用通俗易懂的语言向老年人解释心理照护的目的和内容</w:t>
      </w:r>
      <w:r>
        <w:rPr>
          <w:rFonts w:hint="eastAsia"/>
        </w:rPr>
        <w:t>；</w:t>
      </w:r>
    </w:p>
    <w:p w14:paraId="244F768F">
      <w:pPr>
        <w:pStyle w:val="163"/>
        <w:ind w:left="845" w:leftChars="200" w:hanging="425"/>
      </w:pPr>
      <w:r>
        <w:t>能够通过日常交流和生活照护中的细节观察，精准捕捉老年人的隐性心理需求。</w:t>
      </w:r>
    </w:p>
    <w:p w14:paraId="17841801">
      <w:pPr>
        <w:pStyle w:val="47"/>
        <w:numPr>
          <w:ilvl w:val="3"/>
          <w:numId w:val="0"/>
        </w:numPr>
      </w:pPr>
      <w:r>
        <w:rPr>
          <w:rFonts w:hint="eastAsia" w:ascii="黑体" w:eastAsia="黑体"/>
        </w:rPr>
        <w:t>5.2.3　</w:t>
      </w:r>
      <w:r>
        <w:rPr>
          <w:rFonts w:hint="eastAsia"/>
        </w:rPr>
        <w:t>职业伦理与法律意识</w:t>
      </w:r>
    </w:p>
    <w:p w14:paraId="41999FDA">
      <w:pPr>
        <w:pStyle w:val="47"/>
        <w:numPr>
          <w:ilvl w:val="3"/>
          <w:numId w:val="0"/>
        </w:numPr>
        <w:ind w:firstLine="420" w:firstLineChars="200"/>
      </w:pPr>
      <w:r>
        <w:rPr>
          <w:rFonts w:hint="eastAsia"/>
        </w:rPr>
        <w:t>本指标的评价要点包括：</w:t>
      </w:r>
    </w:p>
    <w:p w14:paraId="3D963E98">
      <w:pPr>
        <w:pStyle w:val="163"/>
        <w:ind w:left="845" w:leftChars="200" w:hanging="425"/>
      </w:pPr>
      <w:r>
        <w:t>尊重老年人的隐私权、知情同意权和自主决定权；</w:t>
      </w:r>
    </w:p>
    <w:p w14:paraId="47EC233C">
      <w:pPr>
        <w:pStyle w:val="163"/>
        <w:ind w:left="845" w:leftChars="200" w:hanging="425"/>
      </w:pPr>
      <w:r>
        <w:t>遵守保密原则，明确保密例外情形（如自伤、伤人风险时）及上报流程；</w:t>
      </w:r>
    </w:p>
    <w:p w14:paraId="4910A2B7">
      <w:pPr>
        <w:pStyle w:val="163"/>
        <w:ind w:left="845" w:leftChars="200" w:hanging="425"/>
      </w:pPr>
      <w:r>
        <w:t>遵循心理照护的伦理边界，不越界、不伤害、不歧视；</w:t>
      </w:r>
    </w:p>
    <w:p w14:paraId="1E3F323B">
      <w:pPr>
        <w:pStyle w:val="163"/>
        <w:ind w:left="845" w:leftChars="200" w:hanging="425"/>
      </w:pPr>
      <w:r>
        <w:t>了解与老年心理照护相关的法律规范及侵权责任</w:t>
      </w:r>
      <w:r>
        <w:rPr>
          <w:rFonts w:hint="eastAsia"/>
        </w:rPr>
        <w:t>；</w:t>
      </w:r>
    </w:p>
    <w:p w14:paraId="7976BC8D">
      <w:pPr>
        <w:pStyle w:val="163"/>
        <w:ind w:left="845" w:leftChars="200" w:hanging="425"/>
      </w:pPr>
      <w:r>
        <w:t>遵循</w:t>
      </w:r>
      <w:r>
        <w:rPr>
          <w:rFonts w:hint="eastAsia"/>
        </w:rPr>
        <w:t>“</w:t>
      </w:r>
      <w:r>
        <w:t>例外管理</w:t>
      </w:r>
      <w:r>
        <w:rPr>
          <w:rFonts w:hint="eastAsia"/>
        </w:rPr>
        <w:t>”</w:t>
      </w:r>
      <w:r>
        <w:t>原则，</w:t>
      </w:r>
      <w:r>
        <w:rPr>
          <w:rFonts w:hint="eastAsia"/>
        </w:rPr>
        <w:t>在坚守法律与伦理底线的前提下，灵活处理照护场景，不确定事项</w:t>
      </w:r>
      <w:r>
        <w:rPr>
          <w:rFonts w:hint="eastAsia"/>
          <w:lang w:val="en-US" w:eastAsia="zh-CN"/>
        </w:rPr>
        <w:t>宜</w:t>
      </w:r>
      <w:r>
        <w:rPr>
          <w:rFonts w:hint="eastAsia"/>
        </w:rPr>
        <w:t>及时请示汇报，平衡人文关怀与合规性。</w:t>
      </w:r>
    </w:p>
    <w:p w14:paraId="5B2C5320">
      <w:pPr>
        <w:pStyle w:val="51"/>
        <w:numPr>
          <w:ilvl w:val="2"/>
          <w:numId w:val="0"/>
        </w:numPr>
        <w:spacing w:before="156" w:after="156"/>
      </w:pPr>
      <w:bookmarkStart w:id="40" w:name="_Toc239088364"/>
      <w:bookmarkStart w:id="41" w:name="_Toc27879"/>
      <w:r>
        <w:rPr>
          <w:rFonts w:hint="eastAsia"/>
          <w:color w:val="000000"/>
          <w14:scene3d>
            <w14:lightRig w14:rig="threePt" w14:dir="t">
              <w14:rot w14:lat="0" w14:lon="0" w14:rev="0"/>
            </w14:lightRig>
          </w14:scene3d>
        </w:rPr>
        <w:t>5.3　</w:t>
      </w:r>
      <w:r>
        <w:rPr>
          <w:rFonts w:hint="eastAsia"/>
        </w:rPr>
        <w:t>专项能力维度</w:t>
      </w:r>
      <w:bookmarkEnd w:id="40"/>
      <w:bookmarkEnd w:id="41"/>
    </w:p>
    <w:p w14:paraId="4E7DCDAA">
      <w:pPr>
        <w:pStyle w:val="47"/>
        <w:numPr>
          <w:ilvl w:val="3"/>
          <w:numId w:val="0"/>
        </w:numPr>
      </w:pPr>
      <w:r>
        <w:rPr>
          <w:rFonts w:hint="eastAsia" w:ascii="黑体" w:eastAsia="黑体"/>
        </w:rPr>
        <w:t>5.3.1　</w:t>
      </w:r>
      <w:r>
        <w:t>心理评估与状态识别</w:t>
      </w:r>
    </w:p>
    <w:p w14:paraId="4B47C0D5">
      <w:pPr>
        <w:pStyle w:val="47"/>
        <w:numPr>
          <w:ilvl w:val="3"/>
          <w:numId w:val="0"/>
        </w:numPr>
        <w:ind w:firstLine="420" w:firstLineChars="200"/>
      </w:pPr>
      <w:r>
        <w:rPr>
          <w:rFonts w:hint="eastAsia"/>
        </w:rPr>
        <w:t>本指标的评价要点</w:t>
      </w:r>
      <w:r>
        <w:rPr>
          <w:rFonts w:hint="eastAsia"/>
          <w:lang w:val="en-US" w:eastAsia="zh-CN"/>
        </w:rPr>
        <w:t>包括</w:t>
      </w:r>
      <w:r>
        <w:rPr>
          <w:rFonts w:hint="eastAsia"/>
        </w:rPr>
        <w:t>：</w:t>
      </w:r>
    </w:p>
    <w:p w14:paraId="1ABD8F90">
      <w:pPr>
        <w:pStyle w:val="163"/>
        <w:ind w:left="845" w:leftChars="200" w:hanging="425"/>
      </w:pPr>
      <w:r>
        <w:t>能够使用标准化心理评估工具（如老年抑郁量表GDS、焦虑自评量表SAS、简易精神状态检查MMSE等）开展评估；</w:t>
      </w:r>
    </w:p>
    <w:p w14:paraId="7539352A">
      <w:pPr>
        <w:pStyle w:val="163"/>
        <w:ind w:left="845" w:leftChars="200" w:hanging="425"/>
      </w:pPr>
      <w:r>
        <w:t>能够通过观察和访谈识别老年人异常情绪（如持续低落、过度焦虑、激越等）和行为（如攻击、游走、退缩等）；</w:t>
      </w:r>
    </w:p>
    <w:p w14:paraId="2EB992C1">
      <w:pPr>
        <w:pStyle w:val="163"/>
        <w:ind w:left="845" w:leftChars="200" w:hanging="425"/>
      </w:pPr>
      <w:r>
        <w:t>能够对老年人的精神状态进行系统观察和记录；</w:t>
      </w:r>
    </w:p>
    <w:p w14:paraId="203FD1C1">
      <w:pPr>
        <w:pStyle w:val="163"/>
        <w:ind w:left="845" w:leftChars="200" w:hanging="425"/>
      </w:pPr>
      <w:r>
        <w:t>能够综合评估结果和观察信息，形成初步判断并确定照护优先级；</w:t>
      </w:r>
    </w:p>
    <w:p w14:paraId="4B5E9235">
      <w:pPr>
        <w:pStyle w:val="163"/>
        <w:ind w:left="845" w:leftChars="200" w:hanging="425"/>
      </w:pPr>
      <w:r>
        <w:t>能够识别自杀、自伤等高风险信号并及时上报。</w:t>
      </w:r>
    </w:p>
    <w:p w14:paraId="061BE4D5">
      <w:pPr>
        <w:pStyle w:val="47"/>
        <w:numPr>
          <w:ilvl w:val="3"/>
          <w:numId w:val="0"/>
        </w:numPr>
      </w:pPr>
      <w:r>
        <w:rPr>
          <w:rFonts w:hint="eastAsia" w:ascii="黑体" w:eastAsia="黑体"/>
        </w:rPr>
        <w:t>5.3.2　</w:t>
      </w:r>
      <w:r>
        <w:t>心理支持与情绪疏导</w:t>
      </w:r>
    </w:p>
    <w:p w14:paraId="7726703B">
      <w:pPr>
        <w:pStyle w:val="47"/>
        <w:numPr>
          <w:ilvl w:val="3"/>
          <w:numId w:val="0"/>
        </w:numPr>
        <w:ind w:firstLine="420" w:firstLineChars="200"/>
      </w:pPr>
      <w:r>
        <w:rPr>
          <w:rFonts w:hint="eastAsia"/>
        </w:rPr>
        <w:t>本指标的评价要点包括：</w:t>
      </w:r>
    </w:p>
    <w:p w14:paraId="18AC71C2">
      <w:pPr>
        <w:pStyle w:val="163"/>
        <w:ind w:left="845" w:leftChars="200" w:hanging="425"/>
      </w:pPr>
      <w:r>
        <w:t>能够运用支持性心理照护技术（如倾听、陪伴、共情回应、正常化等）为老年人提供情绪支持；</w:t>
      </w:r>
    </w:p>
    <w:p w14:paraId="2A94EFBA">
      <w:pPr>
        <w:pStyle w:val="163"/>
        <w:ind w:left="845" w:leftChars="200" w:hanging="425"/>
      </w:pPr>
      <w:r>
        <w:t>能够设计和组织老年人心理健康促进活动（如回忆疗法、音乐疗法、园艺疗法、团体心理活动等）；</w:t>
      </w:r>
    </w:p>
    <w:p w14:paraId="2EBD7AA7">
      <w:pPr>
        <w:pStyle w:val="163"/>
        <w:ind w:left="845" w:leftChars="200" w:hanging="425"/>
      </w:pPr>
      <w:r>
        <w:t>能够针对老年人的个体差异制定个性化的心理照护计划；</w:t>
      </w:r>
    </w:p>
    <w:p w14:paraId="36172878">
      <w:pPr>
        <w:pStyle w:val="163"/>
        <w:ind w:left="845" w:leftChars="200" w:hanging="425"/>
      </w:pPr>
      <w:r>
        <w:t>能够运用认知引导、行为激活等方法帮助老年人改善消极情绪；</w:t>
      </w:r>
    </w:p>
    <w:p w14:paraId="3178483B">
      <w:pPr>
        <w:pStyle w:val="163"/>
        <w:ind w:left="845" w:leftChars="200" w:hanging="425"/>
      </w:pPr>
      <w:r>
        <w:t>能够评价心理照护措施的效果并及时调整方案。</w:t>
      </w:r>
    </w:p>
    <w:p w14:paraId="6E77C198">
      <w:pPr>
        <w:pStyle w:val="47"/>
        <w:numPr>
          <w:ilvl w:val="3"/>
          <w:numId w:val="0"/>
        </w:numPr>
      </w:pPr>
      <w:r>
        <w:rPr>
          <w:rFonts w:hint="eastAsia" w:ascii="黑体" w:eastAsia="黑体"/>
        </w:rPr>
        <w:t>5.3.3　</w:t>
      </w:r>
      <w:r>
        <w:rPr>
          <w:rFonts w:hint="eastAsia"/>
        </w:rPr>
        <w:t>心理危机识别与应对</w:t>
      </w:r>
    </w:p>
    <w:p w14:paraId="034ACCF9">
      <w:pPr>
        <w:pStyle w:val="47"/>
        <w:numPr>
          <w:ilvl w:val="3"/>
          <w:numId w:val="0"/>
        </w:numPr>
        <w:ind w:firstLine="420" w:firstLineChars="200"/>
      </w:pPr>
      <w:r>
        <w:rPr>
          <w:rFonts w:hint="eastAsia"/>
        </w:rPr>
        <w:t>本指标的评价要点包括：</w:t>
      </w:r>
    </w:p>
    <w:p w14:paraId="67A61D88">
      <w:pPr>
        <w:pStyle w:val="163"/>
        <w:ind w:left="845" w:leftChars="200" w:hanging="425"/>
      </w:pPr>
      <w:r>
        <w:t>能够识别老年人心理危机的预警信号（如突然的情绪变化、言语暗示、行为异常等）；</w:t>
      </w:r>
    </w:p>
    <w:p w14:paraId="6AC7E9A2">
      <w:pPr>
        <w:pStyle w:val="163"/>
        <w:ind w:left="845" w:leftChars="200" w:hanging="425"/>
      </w:pPr>
      <w:r>
        <w:t>掌握自杀风险的评估要点和紧急干预流程；</w:t>
      </w:r>
    </w:p>
    <w:p w14:paraId="125AED08">
      <w:pPr>
        <w:pStyle w:val="163"/>
        <w:ind w:left="845" w:leftChars="200" w:hanging="425"/>
      </w:pPr>
      <w:r>
        <w:t>能够在危机情境中保持冷静，采取安全的干预措施；</w:t>
      </w:r>
    </w:p>
    <w:p w14:paraId="45440514">
      <w:pPr>
        <w:pStyle w:val="163"/>
        <w:ind w:left="845" w:leftChars="200" w:hanging="425"/>
      </w:pPr>
      <w:r>
        <w:t>掌握危机事件后的上报流程和转介机制；</w:t>
      </w:r>
    </w:p>
    <w:p w14:paraId="5D839A71">
      <w:pPr>
        <w:pStyle w:val="163"/>
        <w:ind w:left="845" w:leftChars="200" w:hanging="425"/>
      </w:pPr>
      <w:r>
        <w:t>了解精神科急症（如谵妄、严重精神病性症状）的识别与转介要求。</w:t>
      </w:r>
    </w:p>
    <w:p w14:paraId="1CC8DA83">
      <w:pPr>
        <w:pStyle w:val="47"/>
        <w:numPr>
          <w:ilvl w:val="3"/>
          <w:numId w:val="0"/>
        </w:numPr>
      </w:pPr>
      <w:r>
        <w:rPr>
          <w:rFonts w:hint="eastAsia" w:ascii="黑体" w:eastAsia="黑体"/>
        </w:rPr>
        <w:t>5.3.4　</w:t>
      </w:r>
      <w:r>
        <w:t>特殊情境心理照护</w:t>
      </w:r>
    </w:p>
    <w:p w14:paraId="607397EC">
      <w:pPr>
        <w:pStyle w:val="47"/>
        <w:numPr>
          <w:ilvl w:val="3"/>
          <w:numId w:val="0"/>
        </w:numPr>
        <w:ind w:firstLine="420" w:firstLineChars="200"/>
      </w:pPr>
      <w:r>
        <w:rPr>
          <w:rFonts w:hint="eastAsia"/>
        </w:rPr>
        <w:t>本指标的评价要点包括：</w:t>
      </w:r>
    </w:p>
    <w:p w14:paraId="4D982BC0">
      <w:pPr>
        <w:pStyle w:val="163"/>
        <w:ind w:left="845" w:leftChars="200" w:hanging="425"/>
      </w:pPr>
      <w:r>
        <w:t>失智照护：能够运用怀旧、认知训练、行为引导等技能为失智老年人提供心理照护，能够识别和应对失智老年人的异常行为（如游走、激越、日落综合征等）；</w:t>
      </w:r>
    </w:p>
    <w:p w14:paraId="61D3379E">
      <w:pPr>
        <w:pStyle w:val="163"/>
        <w:ind w:left="845" w:leftChars="200" w:hanging="425"/>
      </w:pPr>
      <w:r>
        <w:t>临终心理照护：能够运用临终心理照护技术（如生命回顾、尊严疗法、存在主义关怀等）为临终老年人提供心理支持；</w:t>
      </w:r>
    </w:p>
    <w:p w14:paraId="7F09A48D">
      <w:pPr>
        <w:pStyle w:val="163"/>
        <w:ind w:left="845" w:leftChars="200" w:hanging="425"/>
      </w:pPr>
      <w:r>
        <w:t>死亡教育：能够运用适当方式与老年人及家属沟通死亡相关话题，帮助老年人正确面对死亡；</w:t>
      </w:r>
    </w:p>
    <w:p w14:paraId="2FFAB49A">
      <w:pPr>
        <w:pStyle w:val="163"/>
        <w:ind w:left="845" w:leftChars="200" w:hanging="425"/>
      </w:pPr>
      <w:r>
        <w:t>哀伤辅导：能够为丧亲家属提供基本的哀伤支持和辅导</w:t>
      </w:r>
      <w:r>
        <w:rPr>
          <w:rFonts w:hint="eastAsia"/>
        </w:rPr>
        <w:t>；</w:t>
      </w:r>
    </w:p>
    <w:p w14:paraId="3FEF49B1">
      <w:pPr>
        <w:pStyle w:val="163"/>
        <w:ind w:left="845" w:leftChars="200" w:hanging="425"/>
      </w:pPr>
      <w:r>
        <w:t>能够根据特殊情境的特点，综合运用多种心理照护技术，制定并实施综合照护方案。</w:t>
      </w:r>
    </w:p>
    <w:p w14:paraId="59EAEBA8">
      <w:pPr>
        <w:pStyle w:val="51"/>
        <w:numPr>
          <w:ilvl w:val="2"/>
          <w:numId w:val="0"/>
        </w:numPr>
        <w:spacing w:before="156" w:after="156"/>
      </w:pPr>
      <w:bookmarkStart w:id="42" w:name="_Toc239088365"/>
      <w:bookmarkStart w:id="43" w:name="_Toc25382"/>
      <w:r>
        <w:rPr>
          <w:rFonts w:hint="eastAsia"/>
          <w:color w:val="000000"/>
          <w14:scene3d>
            <w14:lightRig w14:rig="threePt" w14:dir="t">
              <w14:rot w14:lat="0" w14:lon="0" w14:rev="0"/>
            </w14:lightRig>
          </w14:scene3d>
        </w:rPr>
        <w:t>5.4　</w:t>
      </w:r>
      <w:r>
        <w:t>职业素养维度</w:t>
      </w:r>
      <w:bookmarkEnd w:id="42"/>
      <w:bookmarkEnd w:id="43"/>
    </w:p>
    <w:p w14:paraId="245F7C80">
      <w:pPr>
        <w:pStyle w:val="47"/>
        <w:numPr>
          <w:ilvl w:val="3"/>
          <w:numId w:val="0"/>
        </w:numPr>
      </w:pPr>
      <w:r>
        <w:rPr>
          <w:rFonts w:hint="eastAsia" w:ascii="黑体" w:eastAsia="黑体"/>
        </w:rPr>
        <w:t>5.4.1　</w:t>
      </w:r>
      <w:r>
        <w:t>同理心与人文关怀</w:t>
      </w:r>
    </w:p>
    <w:p w14:paraId="7E3806A0">
      <w:pPr>
        <w:pStyle w:val="47"/>
        <w:numPr>
          <w:ilvl w:val="3"/>
          <w:numId w:val="0"/>
        </w:numPr>
        <w:ind w:firstLine="420" w:firstLineChars="200"/>
      </w:pPr>
      <w:r>
        <w:rPr>
          <w:rFonts w:hint="eastAsia"/>
        </w:rPr>
        <w:t>本指标的评价要点包括：</w:t>
      </w:r>
    </w:p>
    <w:p w14:paraId="466316F2">
      <w:pPr>
        <w:pStyle w:val="163"/>
        <w:ind w:left="845" w:leftChars="200" w:hanging="425"/>
      </w:pPr>
      <w:r>
        <w:t>能够设身处地理解老年人的心理感受和需求；</w:t>
      </w:r>
    </w:p>
    <w:p w14:paraId="62740E44">
      <w:pPr>
        <w:pStyle w:val="163"/>
        <w:ind w:left="845" w:leftChars="200" w:hanging="425"/>
      </w:pPr>
      <w:r>
        <w:t>在照护过程中保持耐心、温和、尊重的态度；</w:t>
      </w:r>
    </w:p>
    <w:p w14:paraId="19542411">
      <w:pPr>
        <w:pStyle w:val="163"/>
        <w:ind w:left="845" w:leftChars="200" w:hanging="425"/>
      </w:pPr>
      <w:r>
        <w:t>关注老年人的尊严和自主性，避免“俯视式”照护；</w:t>
      </w:r>
    </w:p>
    <w:p w14:paraId="4BF86017">
      <w:pPr>
        <w:pStyle w:val="163"/>
        <w:ind w:left="845" w:leftChars="200" w:hanging="425"/>
      </w:pPr>
      <w:r>
        <w:t>能够为老年人营造安全、温暖、接纳的心理照护环境</w:t>
      </w:r>
      <w:r>
        <w:rPr>
          <w:rFonts w:hint="eastAsia"/>
        </w:rPr>
        <w:t>；</w:t>
      </w:r>
    </w:p>
    <w:p w14:paraId="128B29E0">
      <w:pPr>
        <w:pStyle w:val="163"/>
        <w:ind w:left="845" w:leftChars="200" w:hanging="425"/>
      </w:pPr>
      <w:r>
        <w:t>能够通过语言和非语言方式传递关怀，让老年人感受到被理解、被接纳、被尊重</w:t>
      </w:r>
      <w:r>
        <w:rPr>
          <w:rFonts w:hint="eastAsia"/>
        </w:rPr>
        <w:t>。</w:t>
      </w:r>
    </w:p>
    <w:p w14:paraId="7FD22FD7">
      <w:pPr>
        <w:pStyle w:val="47"/>
        <w:numPr>
          <w:ilvl w:val="3"/>
          <w:numId w:val="0"/>
        </w:numPr>
      </w:pPr>
      <w:r>
        <w:rPr>
          <w:rFonts w:hint="eastAsia" w:ascii="黑体" w:eastAsia="黑体"/>
        </w:rPr>
        <w:t>5.4.2　</w:t>
      </w:r>
      <w:r>
        <w:t>情绪管理与自我调适</w:t>
      </w:r>
    </w:p>
    <w:p w14:paraId="3D825786">
      <w:pPr>
        <w:pStyle w:val="47"/>
        <w:numPr>
          <w:ilvl w:val="3"/>
          <w:numId w:val="0"/>
        </w:numPr>
        <w:ind w:firstLine="420" w:firstLineChars="200"/>
      </w:pPr>
      <w:r>
        <w:rPr>
          <w:rFonts w:hint="eastAsia"/>
        </w:rPr>
        <w:t>本指标的评价要点包括：</w:t>
      </w:r>
    </w:p>
    <w:p w14:paraId="4C647271">
      <w:pPr>
        <w:pStyle w:val="163"/>
        <w:ind w:left="845" w:leftChars="200" w:hanging="425"/>
      </w:pPr>
      <w:r>
        <w:t>能够觉察和识别自身的情绪状态及其对工作的影响；</w:t>
      </w:r>
    </w:p>
    <w:p w14:paraId="44872CD2">
      <w:pPr>
        <w:pStyle w:val="163"/>
        <w:ind w:left="845" w:leftChars="200" w:hanging="425"/>
      </w:pPr>
      <w:r>
        <w:t>掌握压力管理和情绪调适的方法（如正念、放松训练、合理宣泄等）；</w:t>
      </w:r>
    </w:p>
    <w:p w14:paraId="10CF50FB">
      <w:pPr>
        <w:pStyle w:val="163"/>
        <w:ind w:left="845" w:leftChars="200" w:hanging="425"/>
      </w:pPr>
      <w:r>
        <w:t>能够正确面对工作中的挫折和负面情绪，避免职业倦怠；</w:t>
      </w:r>
    </w:p>
    <w:p w14:paraId="7C6254BE">
      <w:pPr>
        <w:pStyle w:val="163"/>
        <w:ind w:left="845" w:leftChars="200" w:hanging="425"/>
      </w:pPr>
      <w:r>
        <w:t>了解心理督导和自我关怀的意义，主动寻求支持</w:t>
      </w:r>
      <w:r>
        <w:rPr>
          <w:rFonts w:hint="eastAsia"/>
        </w:rPr>
        <w:t>；</w:t>
      </w:r>
    </w:p>
    <w:p w14:paraId="6359F9A1">
      <w:pPr>
        <w:pStyle w:val="163"/>
        <w:ind w:left="845" w:leftChars="200" w:hanging="425"/>
      </w:pPr>
      <w:r>
        <w:t>能够在高压工作情境中保持情绪稳定，为团队成员提供心理支持</w:t>
      </w:r>
      <w:r>
        <w:rPr>
          <w:rFonts w:hint="eastAsia"/>
        </w:rPr>
        <w:t>。</w:t>
      </w:r>
    </w:p>
    <w:p w14:paraId="0DCA7207">
      <w:pPr>
        <w:pStyle w:val="47"/>
        <w:numPr>
          <w:ilvl w:val="3"/>
          <w:numId w:val="0"/>
        </w:numPr>
      </w:pPr>
      <w:r>
        <w:rPr>
          <w:rFonts w:hint="eastAsia" w:ascii="黑体" w:eastAsia="黑体"/>
        </w:rPr>
        <w:t>5.4.3　</w:t>
      </w:r>
      <w:r>
        <w:t>职业认同与专业发展</w:t>
      </w:r>
    </w:p>
    <w:p w14:paraId="2A853689">
      <w:pPr>
        <w:pStyle w:val="47"/>
        <w:numPr>
          <w:ilvl w:val="3"/>
          <w:numId w:val="0"/>
        </w:numPr>
        <w:ind w:firstLine="420" w:firstLineChars="200"/>
      </w:pPr>
      <w:r>
        <w:rPr>
          <w:rFonts w:hint="eastAsia"/>
        </w:rPr>
        <w:t>本指标的评价要点包括：</w:t>
      </w:r>
    </w:p>
    <w:p w14:paraId="5389DDE4">
      <w:pPr>
        <w:pStyle w:val="163"/>
        <w:ind w:left="845" w:leftChars="200" w:hanging="425"/>
      </w:pPr>
      <w:r>
        <w:t>认同老年心理照护工作的专业价值和社会意义；</w:t>
      </w:r>
    </w:p>
    <w:p w14:paraId="6B124F8A">
      <w:pPr>
        <w:pStyle w:val="163"/>
        <w:ind w:left="845" w:leftChars="200" w:hanging="425"/>
      </w:pPr>
      <w:r>
        <w:t>具有持续学习和更新专业知识的意识与行动；</w:t>
      </w:r>
    </w:p>
    <w:p w14:paraId="38824790">
      <w:pPr>
        <w:pStyle w:val="163"/>
        <w:ind w:left="845" w:leftChars="200" w:hanging="425"/>
      </w:pPr>
      <w:r>
        <w:t>能够参与专业培训、学术交流和实践反思，促进自身专业成长；</w:t>
      </w:r>
    </w:p>
    <w:p w14:paraId="79001E79">
      <w:pPr>
        <w:pStyle w:val="163"/>
        <w:ind w:left="845" w:leftChars="200" w:hanging="425"/>
      </w:pPr>
      <w:r>
        <w:t>具有从事老年心理照护工作的职业意愿和稳定性</w:t>
      </w:r>
      <w:r>
        <w:rPr>
          <w:rFonts w:hint="eastAsia"/>
        </w:rPr>
        <w:t>；</w:t>
      </w:r>
    </w:p>
    <w:p w14:paraId="149E0CE2">
      <w:pPr>
        <w:pStyle w:val="163"/>
        <w:ind w:left="845" w:leftChars="200" w:hanging="425"/>
      </w:pPr>
      <w:r>
        <w:t>能够将实践经验与理论知识相结合，形成系统的专业见解，具备诚信素养和职业使命感</w:t>
      </w:r>
      <w:r>
        <w:rPr>
          <w:rFonts w:hint="eastAsia"/>
        </w:rPr>
        <w:t>。</w:t>
      </w:r>
    </w:p>
    <w:p w14:paraId="0E60F692">
      <w:pPr>
        <w:pStyle w:val="51"/>
        <w:numPr>
          <w:ilvl w:val="2"/>
          <w:numId w:val="0"/>
        </w:numPr>
        <w:spacing w:before="156" w:after="156"/>
      </w:pPr>
      <w:bookmarkStart w:id="44" w:name="_Toc13141"/>
      <w:bookmarkStart w:id="45" w:name="_Toc239088366"/>
      <w:r>
        <w:rPr>
          <w:rFonts w:hint="eastAsia"/>
          <w:color w:val="000000"/>
          <w14:scene3d>
            <w14:lightRig w14:rig="threePt" w14:dir="t">
              <w14:rot w14:lat="0" w14:lon="0" w14:rev="0"/>
            </w14:lightRig>
          </w14:scene3d>
        </w:rPr>
        <w:t>5.5　</w:t>
      </w:r>
      <w:r>
        <w:t>综合能力维度</w:t>
      </w:r>
      <w:bookmarkEnd w:id="44"/>
      <w:bookmarkEnd w:id="45"/>
    </w:p>
    <w:p w14:paraId="38E008EB">
      <w:pPr>
        <w:pStyle w:val="47"/>
        <w:numPr>
          <w:ilvl w:val="3"/>
          <w:numId w:val="0"/>
        </w:numPr>
      </w:pPr>
      <w:r>
        <w:rPr>
          <w:rFonts w:hint="eastAsia" w:ascii="黑体" w:eastAsia="黑体"/>
        </w:rPr>
        <w:t>5.5.1　</w:t>
      </w:r>
      <w:r>
        <w:t>综合评估与团队协作</w:t>
      </w:r>
    </w:p>
    <w:p w14:paraId="05C2FCF6">
      <w:pPr>
        <w:pStyle w:val="47"/>
        <w:numPr>
          <w:ilvl w:val="3"/>
          <w:numId w:val="0"/>
        </w:numPr>
        <w:ind w:firstLine="420" w:firstLineChars="200"/>
      </w:pPr>
      <w:r>
        <w:rPr>
          <w:rFonts w:hint="eastAsia"/>
        </w:rPr>
        <w:t>本指标的评价要点包括：</w:t>
      </w:r>
    </w:p>
    <w:p w14:paraId="246F17D3">
      <w:pPr>
        <w:pStyle w:val="163"/>
        <w:ind w:left="845" w:leftChars="200" w:hanging="425"/>
      </w:pPr>
      <w:r>
        <w:t>能够对老年人的心理状况进行多维度综合评估，整合生理、心理、社会等多方面信息；</w:t>
      </w:r>
    </w:p>
    <w:p w14:paraId="54F1C4CE">
      <w:pPr>
        <w:pStyle w:val="163"/>
        <w:ind w:left="845" w:leftChars="200" w:hanging="425"/>
      </w:pPr>
      <w:r>
        <w:t>能够与服务团队（医生、护士、社工、康复师等）进行有效协作，参与多学科团队会议；</w:t>
      </w:r>
    </w:p>
    <w:p w14:paraId="5A17F3CB">
      <w:pPr>
        <w:pStyle w:val="163"/>
        <w:ind w:left="845" w:leftChars="200" w:hanging="425"/>
      </w:pPr>
      <w:r>
        <w:t>能够在团队中清晰表达专业判断和建议，推动心理照护方案的制定与落实；</w:t>
      </w:r>
    </w:p>
    <w:p w14:paraId="63F08E3B">
      <w:pPr>
        <w:pStyle w:val="163"/>
        <w:ind w:left="845" w:leftChars="200" w:hanging="425"/>
      </w:pPr>
      <w:r>
        <w:t>能够参与心理照护质量改进项目，提出合理化建议</w:t>
      </w:r>
      <w:r>
        <w:rPr>
          <w:rFonts w:hint="eastAsia"/>
        </w:rPr>
        <w:t>；</w:t>
      </w:r>
    </w:p>
    <w:p w14:paraId="1E8D6552">
      <w:pPr>
        <w:pStyle w:val="163"/>
        <w:ind w:left="845" w:leftChars="200" w:hanging="425"/>
      </w:pPr>
      <w:r>
        <w:t>能够统筹协调家属、机构、专业机构等多方资源，形成协同照护合力</w:t>
      </w:r>
      <w:r>
        <w:rPr>
          <w:rFonts w:hint="eastAsia"/>
        </w:rPr>
        <w:t>。</w:t>
      </w:r>
    </w:p>
    <w:p w14:paraId="3174C63E">
      <w:pPr>
        <w:pStyle w:val="47"/>
        <w:numPr>
          <w:ilvl w:val="3"/>
          <w:numId w:val="0"/>
        </w:numPr>
      </w:pPr>
      <w:r>
        <w:rPr>
          <w:rFonts w:hint="eastAsia" w:ascii="黑体" w:eastAsia="黑体"/>
        </w:rPr>
        <w:t>5.5.2　</w:t>
      </w:r>
      <w:r>
        <w:t>家属沟通与健康指导</w:t>
      </w:r>
    </w:p>
    <w:p w14:paraId="67E60EFD">
      <w:pPr>
        <w:pStyle w:val="47"/>
        <w:numPr>
          <w:ilvl w:val="3"/>
          <w:numId w:val="0"/>
        </w:numPr>
        <w:ind w:firstLine="420" w:firstLineChars="200"/>
      </w:pPr>
      <w:r>
        <w:rPr>
          <w:rFonts w:hint="eastAsia"/>
        </w:rPr>
        <w:t>本指标的评价要点包括：</w:t>
      </w:r>
    </w:p>
    <w:p w14:paraId="7FD9F146">
      <w:pPr>
        <w:pStyle w:val="163"/>
        <w:ind w:left="845" w:leftChars="200" w:hanging="425"/>
      </w:pPr>
      <w:r>
        <w:t>能够以通俗易懂的方式向家属解释老年人的心理状况和照护方案；</w:t>
      </w:r>
    </w:p>
    <w:p w14:paraId="670A03D0">
      <w:pPr>
        <w:pStyle w:val="163"/>
        <w:ind w:left="845" w:leftChars="200" w:hanging="425"/>
      </w:pPr>
      <w:r>
        <w:t>能够指导家属掌握基本的心理支持技巧（如有效沟通、情绪安抚等）；</w:t>
      </w:r>
    </w:p>
    <w:p w14:paraId="0641264C">
      <w:pPr>
        <w:pStyle w:val="163"/>
        <w:ind w:left="845" w:leftChars="200" w:hanging="425"/>
      </w:pPr>
      <w:r>
        <w:t>能够在家属与老年人之间发挥桥梁作用，促进家庭支持系统的完善；</w:t>
      </w:r>
    </w:p>
    <w:p w14:paraId="0C66DC06">
      <w:pPr>
        <w:pStyle w:val="163"/>
        <w:ind w:left="845" w:leftChars="200" w:hanging="425"/>
      </w:pPr>
      <w:r>
        <w:t>能够妥善处理家属的焦虑、误解或过高期待，维护良好的服务关系</w:t>
      </w:r>
      <w:r>
        <w:rPr>
          <w:rFonts w:hint="eastAsia"/>
        </w:rPr>
        <w:t>；</w:t>
      </w:r>
    </w:p>
    <w:p w14:paraId="61137E50">
      <w:pPr>
        <w:pStyle w:val="163"/>
        <w:ind w:left="845" w:leftChars="200" w:hanging="425"/>
      </w:pPr>
      <w:r>
        <w:t>能够及时、真实、清楚地反馈老人状态，在发现老人情绪或行为异常时及时与家属沟通</w:t>
      </w:r>
      <w:r>
        <w:rPr>
          <w:rFonts w:hint="eastAsia"/>
        </w:rPr>
        <w:t>。</w:t>
      </w:r>
    </w:p>
    <w:p w14:paraId="43E19C61">
      <w:pPr>
        <w:pStyle w:val="51"/>
        <w:numPr>
          <w:ilvl w:val="2"/>
          <w:numId w:val="0"/>
        </w:numPr>
        <w:spacing w:before="156" w:after="156"/>
        <w:rPr>
          <w:rFonts w:hint="eastAsia" w:eastAsia="黑体"/>
          <w:lang w:val="en-US" w:eastAsia="zh-CN"/>
        </w:rPr>
      </w:pPr>
      <w:bookmarkStart w:id="46" w:name="_Toc26359"/>
      <w:r>
        <w:rPr>
          <w:rFonts w:hint="eastAsia"/>
          <w:color w:val="000000"/>
          <w14:scene3d>
            <w14:lightRig w14:rig="threePt" w14:dir="t">
              <w14:rot w14:lat="0" w14:lon="0" w14:rev="0"/>
            </w14:lightRig>
          </w14:scene3d>
        </w:rPr>
        <w:t>5.6　</w:t>
      </w:r>
      <w:bookmarkStart w:id="47" w:name="_Toc239088367"/>
      <w:r>
        <w:rPr>
          <w:rFonts w:hint="eastAsia"/>
        </w:rPr>
        <w:t>指标</w:t>
      </w:r>
      <w:r>
        <w:rPr>
          <w:rFonts w:hint="eastAsia"/>
          <w:lang w:val="en-US" w:eastAsia="zh-CN"/>
        </w:rPr>
        <w:t>权重</w:t>
      </w:r>
      <w:r>
        <w:rPr>
          <w:rFonts w:hint="eastAsia"/>
        </w:rPr>
        <w:t>与</w:t>
      </w:r>
      <w:bookmarkEnd w:id="47"/>
      <w:r>
        <w:rPr>
          <w:rFonts w:hint="eastAsia"/>
          <w:lang w:val="en-US" w:eastAsia="zh-CN"/>
        </w:rPr>
        <w:t>分值计算</w:t>
      </w:r>
      <w:bookmarkEnd w:id="46"/>
    </w:p>
    <w:p w14:paraId="4138FC7F">
      <w:pPr>
        <w:pStyle w:val="47"/>
        <w:numPr>
          <w:ilvl w:val="3"/>
          <w:numId w:val="0"/>
        </w:numPr>
      </w:pPr>
      <w:r>
        <w:rPr>
          <w:rFonts w:hint="eastAsia" w:ascii="黑体" w:eastAsia="黑体"/>
        </w:rPr>
        <w:t>5.6.1　</w:t>
      </w:r>
      <w:r>
        <w:t>各指标的具体</w:t>
      </w:r>
      <w:r>
        <w:rPr>
          <w:rFonts w:hint="eastAsia"/>
          <w:lang w:val="en-US" w:eastAsia="zh-CN"/>
        </w:rPr>
        <w:t>权重</w:t>
      </w:r>
      <w:r>
        <w:t>建议见表1</w:t>
      </w:r>
    </w:p>
    <w:p w14:paraId="423B6403">
      <w:pPr>
        <w:pStyle w:val="164"/>
        <w:spacing w:before="156" w:after="156"/>
        <w:rPr>
          <w:rFonts w:ascii="宋体" w:eastAsia="宋体"/>
          <w:sz w:val="18"/>
          <w:szCs w:val="16"/>
        </w:rPr>
      </w:pPr>
      <w:r>
        <w:rPr>
          <w:rFonts w:hint="eastAsia" w:ascii="宋体" w:eastAsia="宋体"/>
          <w:sz w:val="18"/>
          <w:szCs w:val="16"/>
        </w:rPr>
        <w:t>指标</w:t>
      </w:r>
      <w:r>
        <w:rPr>
          <w:rFonts w:hint="eastAsia" w:ascii="宋体" w:eastAsia="宋体"/>
          <w:sz w:val="18"/>
          <w:szCs w:val="16"/>
          <w:lang w:val="en-US" w:eastAsia="zh-CN"/>
        </w:rPr>
        <w:t>权重</w:t>
      </w:r>
      <w:r>
        <w:rPr>
          <w:rFonts w:hint="eastAsia" w:ascii="宋体" w:eastAsia="宋体"/>
          <w:sz w:val="18"/>
          <w:szCs w:val="16"/>
        </w:rPr>
        <w:t>分配</w:t>
      </w:r>
      <w:r>
        <w:rPr>
          <w:rFonts w:hint="eastAsia" w:ascii="宋体" w:eastAsia="宋体"/>
          <w:sz w:val="18"/>
          <w:szCs w:val="16"/>
          <w:lang w:val="en-US" w:eastAsia="zh-CN"/>
        </w:rPr>
        <w:t>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0" w:type="dxa"/>
          <w:bottom w:w="0" w:type="dxa"/>
          <w:right w:w="100" w:type="dxa"/>
        </w:tblCellMar>
      </w:tblPr>
      <w:tblGrid>
        <w:gridCol w:w="3110"/>
        <w:gridCol w:w="2313"/>
        <w:gridCol w:w="1210"/>
        <w:gridCol w:w="1271"/>
        <w:gridCol w:w="1149"/>
      </w:tblGrid>
      <w:tr w14:paraId="0C7C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blHeader/>
          <w:jc w:val="center"/>
        </w:trPr>
        <w:tc>
          <w:tcPr>
            <w:tcW w:w="3110" w:type="dxa"/>
            <w:tcBorders>
              <w:tl2br w:val="nil"/>
              <w:tr2bl w:val="nil"/>
            </w:tcBorders>
            <w:vAlign w:val="center"/>
          </w:tcPr>
          <w:p w14:paraId="7B7892B0">
            <w:pPr>
              <w:pStyle w:val="165"/>
              <w:rPr>
                <w:rFonts w:ascii="宋体"/>
                <w:szCs w:val="18"/>
              </w:rPr>
            </w:pPr>
            <w:r>
              <w:rPr>
                <w:rFonts w:ascii="宋体"/>
                <w:b/>
                <w:bCs/>
                <w:szCs w:val="18"/>
              </w:rPr>
              <w:t>一级指标</w:t>
            </w:r>
          </w:p>
        </w:tc>
        <w:tc>
          <w:tcPr>
            <w:tcW w:w="2313" w:type="dxa"/>
            <w:tcBorders>
              <w:tl2br w:val="nil"/>
              <w:tr2bl w:val="nil"/>
            </w:tcBorders>
            <w:vAlign w:val="center"/>
          </w:tcPr>
          <w:p w14:paraId="5BA074B4">
            <w:pPr>
              <w:pStyle w:val="165"/>
              <w:rPr>
                <w:rFonts w:ascii="宋体"/>
                <w:szCs w:val="18"/>
              </w:rPr>
            </w:pPr>
            <w:r>
              <w:rPr>
                <w:rFonts w:ascii="宋体"/>
                <w:b/>
                <w:bCs/>
                <w:szCs w:val="18"/>
              </w:rPr>
              <w:t>二级指标</w:t>
            </w:r>
          </w:p>
        </w:tc>
        <w:tc>
          <w:tcPr>
            <w:tcW w:w="1210" w:type="dxa"/>
            <w:tcBorders>
              <w:tl2br w:val="nil"/>
              <w:tr2bl w:val="nil"/>
            </w:tcBorders>
            <w:vAlign w:val="center"/>
          </w:tcPr>
          <w:p w14:paraId="35AA0684">
            <w:pPr>
              <w:pStyle w:val="165"/>
              <w:rPr>
                <w:rFonts w:ascii="宋体"/>
                <w:b/>
                <w:bCs/>
                <w:szCs w:val="18"/>
              </w:rPr>
            </w:pPr>
            <w:r>
              <w:rPr>
                <w:rFonts w:hint="eastAsia" w:ascii="宋体"/>
                <w:b/>
                <w:bCs/>
                <w:szCs w:val="18"/>
              </w:rPr>
              <w:t>二级指标</w:t>
            </w:r>
          </w:p>
          <w:p w14:paraId="56C8C9B9">
            <w:pPr>
              <w:pStyle w:val="165"/>
              <w:rPr>
                <w:rFonts w:ascii="宋体"/>
                <w:szCs w:val="18"/>
              </w:rPr>
            </w:pPr>
            <w:r>
              <w:rPr>
                <w:rFonts w:hint="eastAsia" w:ascii="宋体"/>
                <w:b/>
                <w:bCs/>
                <w:szCs w:val="18"/>
              </w:rPr>
              <w:t>分值</w:t>
            </w:r>
          </w:p>
        </w:tc>
        <w:tc>
          <w:tcPr>
            <w:tcW w:w="1271" w:type="dxa"/>
            <w:tcBorders>
              <w:tl2br w:val="nil"/>
              <w:tr2bl w:val="nil"/>
            </w:tcBorders>
            <w:vAlign w:val="center"/>
          </w:tcPr>
          <w:p w14:paraId="6FEF9AE4">
            <w:pPr>
              <w:pStyle w:val="165"/>
              <w:rPr>
                <w:rFonts w:ascii="宋体"/>
                <w:b/>
                <w:bCs/>
                <w:szCs w:val="18"/>
              </w:rPr>
            </w:pPr>
            <w:r>
              <w:rPr>
                <w:rFonts w:hint="eastAsia" w:ascii="宋体"/>
                <w:b/>
                <w:bCs/>
                <w:szCs w:val="18"/>
              </w:rPr>
              <w:t>三级指标</w:t>
            </w:r>
          </w:p>
          <w:p w14:paraId="5616111E">
            <w:pPr>
              <w:pStyle w:val="165"/>
              <w:rPr>
                <w:rFonts w:ascii="宋体"/>
                <w:b/>
                <w:bCs/>
                <w:szCs w:val="18"/>
              </w:rPr>
            </w:pPr>
            <w:r>
              <w:rPr>
                <w:rFonts w:hint="eastAsia" w:ascii="宋体"/>
                <w:b/>
                <w:bCs/>
                <w:szCs w:val="18"/>
              </w:rPr>
              <w:t>数量</w:t>
            </w:r>
          </w:p>
        </w:tc>
        <w:tc>
          <w:tcPr>
            <w:tcW w:w="1149" w:type="dxa"/>
            <w:tcBorders>
              <w:tl2br w:val="nil"/>
              <w:tr2bl w:val="nil"/>
            </w:tcBorders>
            <w:vAlign w:val="center"/>
          </w:tcPr>
          <w:p w14:paraId="279B8225">
            <w:pPr>
              <w:pStyle w:val="165"/>
              <w:rPr>
                <w:rFonts w:ascii="宋体"/>
                <w:b/>
                <w:bCs/>
                <w:szCs w:val="18"/>
              </w:rPr>
            </w:pPr>
            <w:r>
              <w:rPr>
                <w:rFonts w:hint="eastAsia" w:ascii="宋体"/>
                <w:b/>
                <w:bCs/>
                <w:szCs w:val="18"/>
              </w:rPr>
              <w:t>单个三级</w:t>
            </w:r>
          </w:p>
          <w:p w14:paraId="13DC7B8B">
            <w:pPr>
              <w:pStyle w:val="165"/>
              <w:rPr>
                <w:rFonts w:ascii="宋体"/>
                <w:b/>
                <w:bCs/>
                <w:szCs w:val="18"/>
              </w:rPr>
            </w:pPr>
            <w:r>
              <w:rPr>
                <w:rFonts w:hint="eastAsia" w:ascii="宋体"/>
                <w:b/>
                <w:bCs/>
                <w:szCs w:val="18"/>
              </w:rPr>
              <w:t>指标分值</w:t>
            </w:r>
          </w:p>
        </w:tc>
      </w:tr>
      <w:tr w14:paraId="5FFB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restart"/>
            <w:tcBorders>
              <w:tl2br w:val="nil"/>
              <w:tr2bl w:val="nil"/>
            </w:tcBorders>
            <w:vAlign w:val="center"/>
          </w:tcPr>
          <w:p w14:paraId="152A7690">
            <w:pPr>
              <w:pStyle w:val="165"/>
              <w:rPr>
                <w:rFonts w:ascii="宋体"/>
                <w:szCs w:val="18"/>
              </w:rPr>
            </w:pPr>
            <w:r>
              <w:rPr>
                <w:rFonts w:ascii="宋体"/>
                <w:szCs w:val="18"/>
              </w:rPr>
              <w:t>基础能力（</w:t>
            </w:r>
            <w:r>
              <w:rPr>
                <w:rFonts w:hint="eastAsia" w:ascii="宋体"/>
                <w:szCs w:val="18"/>
              </w:rPr>
              <w:t>30分</w:t>
            </w:r>
            <w:r>
              <w:rPr>
                <w:rFonts w:ascii="宋体"/>
                <w:szCs w:val="18"/>
              </w:rPr>
              <w:t>）</w:t>
            </w:r>
          </w:p>
        </w:tc>
        <w:tc>
          <w:tcPr>
            <w:tcW w:w="2313" w:type="dxa"/>
            <w:tcBorders>
              <w:tl2br w:val="nil"/>
              <w:tr2bl w:val="nil"/>
            </w:tcBorders>
            <w:vAlign w:val="center"/>
          </w:tcPr>
          <w:p w14:paraId="1913274A">
            <w:pPr>
              <w:pStyle w:val="165"/>
              <w:rPr>
                <w:rFonts w:ascii="宋体"/>
                <w:szCs w:val="18"/>
              </w:rPr>
            </w:pPr>
            <w:r>
              <w:rPr>
                <w:rFonts w:ascii="宋体"/>
                <w:szCs w:val="18"/>
              </w:rPr>
              <w:t>老年心理基础知识</w:t>
            </w:r>
          </w:p>
        </w:tc>
        <w:tc>
          <w:tcPr>
            <w:tcW w:w="1210" w:type="dxa"/>
            <w:tcBorders>
              <w:tl2br w:val="nil"/>
              <w:tr2bl w:val="nil"/>
            </w:tcBorders>
          </w:tcPr>
          <w:p w14:paraId="0ED70579">
            <w:pPr>
              <w:pStyle w:val="165"/>
              <w:rPr>
                <w:rFonts w:ascii="宋体"/>
                <w:szCs w:val="18"/>
              </w:rPr>
            </w:pPr>
            <w:r>
              <w:rPr>
                <w:rFonts w:ascii="宋体"/>
                <w:szCs w:val="18"/>
              </w:rPr>
              <w:t>1</w:t>
            </w:r>
            <w:r>
              <w:rPr>
                <w:rFonts w:hint="eastAsia" w:ascii="宋体"/>
                <w:szCs w:val="18"/>
              </w:rPr>
              <w:t>0</w:t>
            </w:r>
          </w:p>
        </w:tc>
        <w:tc>
          <w:tcPr>
            <w:tcW w:w="1271" w:type="dxa"/>
            <w:tcBorders>
              <w:tl2br w:val="nil"/>
              <w:tr2bl w:val="nil"/>
            </w:tcBorders>
          </w:tcPr>
          <w:p w14:paraId="69F9A049">
            <w:pPr>
              <w:pStyle w:val="165"/>
              <w:rPr>
                <w:rFonts w:ascii="宋体"/>
                <w:szCs w:val="18"/>
              </w:rPr>
            </w:pPr>
            <w:r>
              <w:rPr>
                <w:rFonts w:hint="eastAsia" w:ascii="宋体"/>
                <w:szCs w:val="18"/>
              </w:rPr>
              <w:t>5</w:t>
            </w:r>
          </w:p>
        </w:tc>
        <w:tc>
          <w:tcPr>
            <w:tcW w:w="1149" w:type="dxa"/>
            <w:tcBorders>
              <w:tl2br w:val="nil"/>
              <w:tr2bl w:val="nil"/>
            </w:tcBorders>
          </w:tcPr>
          <w:p w14:paraId="28870C9A">
            <w:pPr>
              <w:pStyle w:val="165"/>
              <w:rPr>
                <w:rFonts w:ascii="宋体"/>
                <w:szCs w:val="18"/>
              </w:rPr>
            </w:pPr>
            <w:r>
              <w:rPr>
                <w:rFonts w:hint="eastAsia" w:ascii="宋体"/>
                <w:szCs w:val="18"/>
              </w:rPr>
              <w:t>2</w:t>
            </w:r>
          </w:p>
        </w:tc>
      </w:tr>
      <w:tr w14:paraId="3852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continue"/>
            <w:tcBorders>
              <w:tl2br w:val="nil"/>
              <w:tr2bl w:val="nil"/>
            </w:tcBorders>
            <w:vAlign w:val="center"/>
          </w:tcPr>
          <w:p w14:paraId="451F8324">
            <w:pPr>
              <w:pStyle w:val="165"/>
              <w:rPr>
                <w:rFonts w:ascii="宋体"/>
                <w:szCs w:val="18"/>
              </w:rPr>
            </w:pPr>
          </w:p>
        </w:tc>
        <w:tc>
          <w:tcPr>
            <w:tcW w:w="2313" w:type="dxa"/>
            <w:tcBorders>
              <w:tl2br w:val="nil"/>
              <w:tr2bl w:val="nil"/>
            </w:tcBorders>
            <w:vAlign w:val="center"/>
          </w:tcPr>
          <w:p w14:paraId="64F6DC0F">
            <w:pPr>
              <w:pStyle w:val="165"/>
              <w:rPr>
                <w:rFonts w:ascii="宋体"/>
                <w:szCs w:val="18"/>
              </w:rPr>
            </w:pPr>
            <w:r>
              <w:rPr>
                <w:rFonts w:ascii="宋体"/>
                <w:szCs w:val="18"/>
              </w:rPr>
              <w:t>基本沟通与观察能力</w:t>
            </w:r>
          </w:p>
        </w:tc>
        <w:tc>
          <w:tcPr>
            <w:tcW w:w="1210" w:type="dxa"/>
            <w:tcBorders>
              <w:tl2br w:val="nil"/>
              <w:tr2bl w:val="nil"/>
            </w:tcBorders>
          </w:tcPr>
          <w:p w14:paraId="6D651F70">
            <w:pPr>
              <w:jc w:val="center"/>
              <w:rPr>
                <w:rFonts w:ascii="宋体"/>
                <w:sz w:val="20"/>
                <w:szCs w:val="16"/>
              </w:rPr>
            </w:pPr>
            <w:r>
              <w:rPr>
                <w:rFonts w:ascii="宋体"/>
                <w:sz w:val="20"/>
                <w:szCs w:val="16"/>
              </w:rPr>
              <w:t>1</w:t>
            </w:r>
            <w:r>
              <w:rPr>
                <w:rFonts w:hint="eastAsia" w:ascii="宋体"/>
                <w:sz w:val="20"/>
                <w:szCs w:val="16"/>
              </w:rPr>
              <w:t>0</w:t>
            </w:r>
          </w:p>
        </w:tc>
        <w:tc>
          <w:tcPr>
            <w:tcW w:w="1271" w:type="dxa"/>
            <w:tcBorders>
              <w:tl2br w:val="nil"/>
              <w:tr2bl w:val="nil"/>
            </w:tcBorders>
          </w:tcPr>
          <w:p w14:paraId="5B73EC6B">
            <w:pPr>
              <w:pStyle w:val="165"/>
              <w:rPr>
                <w:rFonts w:ascii="宋体"/>
                <w:szCs w:val="18"/>
              </w:rPr>
            </w:pPr>
            <w:r>
              <w:rPr>
                <w:rFonts w:hint="eastAsia" w:ascii="宋体"/>
                <w:szCs w:val="18"/>
              </w:rPr>
              <w:t>5</w:t>
            </w:r>
          </w:p>
        </w:tc>
        <w:tc>
          <w:tcPr>
            <w:tcW w:w="1149" w:type="dxa"/>
            <w:tcBorders>
              <w:tl2br w:val="nil"/>
              <w:tr2bl w:val="nil"/>
            </w:tcBorders>
          </w:tcPr>
          <w:p w14:paraId="0941B1E5">
            <w:pPr>
              <w:jc w:val="center"/>
              <w:rPr>
                <w:rFonts w:ascii="宋体"/>
                <w:sz w:val="18"/>
                <w:szCs w:val="18"/>
              </w:rPr>
            </w:pPr>
            <w:r>
              <w:rPr>
                <w:rFonts w:hint="eastAsia" w:ascii="宋体"/>
                <w:sz w:val="18"/>
                <w:szCs w:val="18"/>
              </w:rPr>
              <w:t>2</w:t>
            </w:r>
          </w:p>
        </w:tc>
      </w:tr>
      <w:tr w14:paraId="5B42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continue"/>
            <w:tcBorders>
              <w:tl2br w:val="nil"/>
              <w:tr2bl w:val="nil"/>
            </w:tcBorders>
            <w:vAlign w:val="center"/>
          </w:tcPr>
          <w:p w14:paraId="4ABA6BC8">
            <w:pPr>
              <w:pStyle w:val="165"/>
              <w:rPr>
                <w:rFonts w:ascii="宋体"/>
                <w:szCs w:val="18"/>
              </w:rPr>
            </w:pPr>
          </w:p>
        </w:tc>
        <w:tc>
          <w:tcPr>
            <w:tcW w:w="2313" w:type="dxa"/>
            <w:tcBorders>
              <w:tl2br w:val="nil"/>
              <w:tr2bl w:val="nil"/>
            </w:tcBorders>
            <w:vAlign w:val="center"/>
          </w:tcPr>
          <w:p w14:paraId="6CC5B910">
            <w:pPr>
              <w:pStyle w:val="165"/>
              <w:rPr>
                <w:rFonts w:ascii="宋体"/>
                <w:szCs w:val="18"/>
              </w:rPr>
            </w:pPr>
            <w:r>
              <w:rPr>
                <w:rFonts w:ascii="宋体"/>
                <w:szCs w:val="18"/>
              </w:rPr>
              <w:t>职业伦理与法律意识</w:t>
            </w:r>
          </w:p>
        </w:tc>
        <w:tc>
          <w:tcPr>
            <w:tcW w:w="1210" w:type="dxa"/>
            <w:tcBorders>
              <w:tl2br w:val="nil"/>
              <w:tr2bl w:val="nil"/>
            </w:tcBorders>
            <w:vAlign w:val="center"/>
          </w:tcPr>
          <w:p w14:paraId="785979BE">
            <w:pPr>
              <w:jc w:val="center"/>
              <w:rPr>
                <w:rFonts w:ascii="宋体"/>
                <w:sz w:val="20"/>
                <w:szCs w:val="16"/>
              </w:rPr>
            </w:pPr>
            <w:r>
              <w:rPr>
                <w:rFonts w:ascii="宋体"/>
                <w:sz w:val="20"/>
                <w:szCs w:val="16"/>
              </w:rPr>
              <w:t>1</w:t>
            </w:r>
            <w:r>
              <w:rPr>
                <w:rFonts w:hint="eastAsia" w:ascii="宋体"/>
                <w:sz w:val="20"/>
                <w:szCs w:val="16"/>
              </w:rPr>
              <w:t>0</w:t>
            </w:r>
          </w:p>
        </w:tc>
        <w:tc>
          <w:tcPr>
            <w:tcW w:w="1271" w:type="dxa"/>
            <w:tcBorders>
              <w:tl2br w:val="nil"/>
              <w:tr2bl w:val="nil"/>
            </w:tcBorders>
            <w:vAlign w:val="center"/>
          </w:tcPr>
          <w:p w14:paraId="1BA073A0">
            <w:pPr>
              <w:pStyle w:val="165"/>
              <w:rPr>
                <w:rFonts w:ascii="宋体"/>
                <w:szCs w:val="18"/>
              </w:rPr>
            </w:pPr>
            <w:r>
              <w:rPr>
                <w:rFonts w:hint="eastAsia" w:ascii="宋体"/>
                <w:szCs w:val="18"/>
              </w:rPr>
              <w:t>5</w:t>
            </w:r>
          </w:p>
        </w:tc>
        <w:tc>
          <w:tcPr>
            <w:tcW w:w="1149" w:type="dxa"/>
            <w:tcBorders>
              <w:tl2br w:val="nil"/>
              <w:tr2bl w:val="nil"/>
            </w:tcBorders>
            <w:vAlign w:val="center"/>
          </w:tcPr>
          <w:p w14:paraId="75806F81">
            <w:pPr>
              <w:jc w:val="center"/>
              <w:rPr>
                <w:rFonts w:ascii="宋体"/>
                <w:sz w:val="18"/>
                <w:szCs w:val="18"/>
              </w:rPr>
            </w:pPr>
            <w:r>
              <w:rPr>
                <w:rFonts w:hint="eastAsia" w:ascii="宋体"/>
                <w:sz w:val="18"/>
                <w:szCs w:val="18"/>
              </w:rPr>
              <w:t>2</w:t>
            </w:r>
          </w:p>
        </w:tc>
      </w:tr>
      <w:tr w14:paraId="275E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restart"/>
            <w:tcBorders>
              <w:tl2br w:val="nil"/>
              <w:tr2bl w:val="nil"/>
            </w:tcBorders>
            <w:vAlign w:val="center"/>
          </w:tcPr>
          <w:p w14:paraId="23F7AB60">
            <w:pPr>
              <w:pStyle w:val="165"/>
              <w:rPr>
                <w:rFonts w:ascii="宋体"/>
                <w:szCs w:val="18"/>
              </w:rPr>
            </w:pPr>
            <w:r>
              <w:rPr>
                <w:rFonts w:ascii="宋体"/>
                <w:szCs w:val="18"/>
              </w:rPr>
              <w:t>专项能力（4</w:t>
            </w:r>
            <w:r>
              <w:rPr>
                <w:rFonts w:hint="eastAsia" w:ascii="宋体"/>
                <w:szCs w:val="18"/>
              </w:rPr>
              <w:t>0分</w:t>
            </w:r>
            <w:r>
              <w:rPr>
                <w:rFonts w:ascii="宋体"/>
                <w:szCs w:val="18"/>
              </w:rPr>
              <w:t>）</w:t>
            </w:r>
          </w:p>
        </w:tc>
        <w:tc>
          <w:tcPr>
            <w:tcW w:w="2313" w:type="dxa"/>
            <w:tcBorders>
              <w:tl2br w:val="nil"/>
              <w:tr2bl w:val="nil"/>
            </w:tcBorders>
            <w:vAlign w:val="center"/>
          </w:tcPr>
          <w:p w14:paraId="6F76448F">
            <w:pPr>
              <w:pStyle w:val="165"/>
              <w:rPr>
                <w:rFonts w:ascii="宋体"/>
                <w:szCs w:val="18"/>
              </w:rPr>
            </w:pPr>
            <w:r>
              <w:rPr>
                <w:rFonts w:ascii="宋体"/>
                <w:szCs w:val="18"/>
              </w:rPr>
              <w:t>心理评估与状态识别</w:t>
            </w:r>
          </w:p>
        </w:tc>
        <w:tc>
          <w:tcPr>
            <w:tcW w:w="1210" w:type="dxa"/>
            <w:tcBorders>
              <w:tl2br w:val="nil"/>
              <w:tr2bl w:val="nil"/>
            </w:tcBorders>
          </w:tcPr>
          <w:p w14:paraId="2731151E">
            <w:pPr>
              <w:jc w:val="center"/>
              <w:rPr>
                <w:rFonts w:ascii="宋体"/>
                <w:sz w:val="20"/>
                <w:szCs w:val="16"/>
              </w:rPr>
            </w:pPr>
            <w:r>
              <w:rPr>
                <w:rFonts w:ascii="宋体"/>
                <w:sz w:val="20"/>
                <w:szCs w:val="16"/>
              </w:rPr>
              <w:t>1</w:t>
            </w:r>
            <w:r>
              <w:rPr>
                <w:rFonts w:hint="eastAsia" w:ascii="宋体"/>
                <w:sz w:val="20"/>
                <w:szCs w:val="16"/>
              </w:rPr>
              <w:t>0</w:t>
            </w:r>
          </w:p>
        </w:tc>
        <w:tc>
          <w:tcPr>
            <w:tcW w:w="1271" w:type="dxa"/>
            <w:tcBorders>
              <w:tl2br w:val="nil"/>
              <w:tr2bl w:val="nil"/>
            </w:tcBorders>
          </w:tcPr>
          <w:p w14:paraId="2103DA6B">
            <w:pPr>
              <w:pStyle w:val="165"/>
              <w:rPr>
                <w:rFonts w:ascii="宋体"/>
                <w:szCs w:val="18"/>
              </w:rPr>
            </w:pPr>
            <w:r>
              <w:rPr>
                <w:rFonts w:hint="eastAsia" w:ascii="宋体"/>
                <w:szCs w:val="18"/>
              </w:rPr>
              <w:t>5</w:t>
            </w:r>
          </w:p>
        </w:tc>
        <w:tc>
          <w:tcPr>
            <w:tcW w:w="1149" w:type="dxa"/>
            <w:tcBorders>
              <w:tl2br w:val="nil"/>
              <w:tr2bl w:val="nil"/>
            </w:tcBorders>
          </w:tcPr>
          <w:p w14:paraId="2BDF0F64">
            <w:pPr>
              <w:jc w:val="center"/>
              <w:rPr>
                <w:rFonts w:ascii="宋体"/>
                <w:sz w:val="18"/>
                <w:szCs w:val="18"/>
              </w:rPr>
            </w:pPr>
            <w:r>
              <w:rPr>
                <w:rFonts w:hint="eastAsia" w:ascii="宋体"/>
                <w:sz w:val="18"/>
                <w:szCs w:val="18"/>
              </w:rPr>
              <w:t>2</w:t>
            </w:r>
          </w:p>
        </w:tc>
      </w:tr>
      <w:tr w14:paraId="7A48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continue"/>
            <w:tcBorders>
              <w:tl2br w:val="nil"/>
              <w:tr2bl w:val="nil"/>
            </w:tcBorders>
            <w:vAlign w:val="center"/>
          </w:tcPr>
          <w:p w14:paraId="6688CF88">
            <w:pPr>
              <w:pStyle w:val="165"/>
              <w:rPr>
                <w:rFonts w:ascii="宋体"/>
                <w:szCs w:val="18"/>
              </w:rPr>
            </w:pPr>
          </w:p>
        </w:tc>
        <w:tc>
          <w:tcPr>
            <w:tcW w:w="2313" w:type="dxa"/>
            <w:tcBorders>
              <w:tl2br w:val="nil"/>
              <w:tr2bl w:val="nil"/>
            </w:tcBorders>
            <w:vAlign w:val="center"/>
          </w:tcPr>
          <w:p w14:paraId="298E94C3">
            <w:pPr>
              <w:pStyle w:val="165"/>
              <w:rPr>
                <w:rFonts w:ascii="宋体"/>
                <w:szCs w:val="18"/>
              </w:rPr>
            </w:pPr>
            <w:r>
              <w:rPr>
                <w:rFonts w:ascii="宋体"/>
                <w:szCs w:val="18"/>
              </w:rPr>
              <w:t>心理支持与情绪疏导</w:t>
            </w:r>
          </w:p>
        </w:tc>
        <w:tc>
          <w:tcPr>
            <w:tcW w:w="1210" w:type="dxa"/>
            <w:tcBorders>
              <w:tl2br w:val="nil"/>
              <w:tr2bl w:val="nil"/>
            </w:tcBorders>
          </w:tcPr>
          <w:p w14:paraId="5DEDB615">
            <w:pPr>
              <w:jc w:val="center"/>
              <w:rPr>
                <w:rFonts w:ascii="宋体"/>
                <w:sz w:val="20"/>
                <w:szCs w:val="16"/>
              </w:rPr>
            </w:pPr>
            <w:r>
              <w:rPr>
                <w:rFonts w:ascii="宋体"/>
                <w:sz w:val="20"/>
                <w:szCs w:val="16"/>
              </w:rPr>
              <w:t>1</w:t>
            </w:r>
            <w:r>
              <w:rPr>
                <w:rFonts w:hint="eastAsia" w:ascii="宋体"/>
                <w:sz w:val="20"/>
                <w:szCs w:val="16"/>
              </w:rPr>
              <w:t>0</w:t>
            </w:r>
          </w:p>
        </w:tc>
        <w:tc>
          <w:tcPr>
            <w:tcW w:w="1271" w:type="dxa"/>
            <w:tcBorders>
              <w:tl2br w:val="nil"/>
              <w:tr2bl w:val="nil"/>
            </w:tcBorders>
          </w:tcPr>
          <w:p w14:paraId="036F3B25">
            <w:pPr>
              <w:pStyle w:val="165"/>
              <w:rPr>
                <w:rFonts w:ascii="宋体"/>
                <w:szCs w:val="18"/>
              </w:rPr>
            </w:pPr>
            <w:r>
              <w:rPr>
                <w:rFonts w:hint="eastAsia" w:ascii="宋体"/>
                <w:szCs w:val="18"/>
              </w:rPr>
              <w:t>5</w:t>
            </w:r>
          </w:p>
        </w:tc>
        <w:tc>
          <w:tcPr>
            <w:tcW w:w="1149" w:type="dxa"/>
            <w:tcBorders>
              <w:tl2br w:val="nil"/>
              <w:tr2bl w:val="nil"/>
            </w:tcBorders>
          </w:tcPr>
          <w:p w14:paraId="5D3CA30D">
            <w:pPr>
              <w:jc w:val="center"/>
              <w:rPr>
                <w:rFonts w:ascii="宋体"/>
                <w:sz w:val="18"/>
                <w:szCs w:val="18"/>
              </w:rPr>
            </w:pPr>
            <w:r>
              <w:rPr>
                <w:rFonts w:hint="eastAsia" w:ascii="宋体"/>
                <w:sz w:val="18"/>
                <w:szCs w:val="18"/>
              </w:rPr>
              <w:t>2</w:t>
            </w:r>
          </w:p>
        </w:tc>
      </w:tr>
      <w:tr w14:paraId="4E35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continue"/>
            <w:tcBorders>
              <w:tl2br w:val="nil"/>
              <w:tr2bl w:val="nil"/>
            </w:tcBorders>
            <w:vAlign w:val="center"/>
          </w:tcPr>
          <w:p w14:paraId="3A529F3D">
            <w:pPr>
              <w:pStyle w:val="165"/>
              <w:rPr>
                <w:rFonts w:ascii="宋体"/>
                <w:szCs w:val="18"/>
              </w:rPr>
            </w:pPr>
          </w:p>
        </w:tc>
        <w:tc>
          <w:tcPr>
            <w:tcW w:w="2313" w:type="dxa"/>
            <w:tcBorders>
              <w:tl2br w:val="nil"/>
              <w:tr2bl w:val="nil"/>
            </w:tcBorders>
            <w:vAlign w:val="center"/>
          </w:tcPr>
          <w:p w14:paraId="0EB3CBCB">
            <w:pPr>
              <w:pStyle w:val="165"/>
              <w:rPr>
                <w:rFonts w:ascii="宋体"/>
                <w:szCs w:val="18"/>
              </w:rPr>
            </w:pPr>
            <w:r>
              <w:rPr>
                <w:rFonts w:ascii="宋体"/>
                <w:szCs w:val="18"/>
              </w:rPr>
              <w:t>心理危机识别与应对</w:t>
            </w:r>
          </w:p>
        </w:tc>
        <w:tc>
          <w:tcPr>
            <w:tcW w:w="1210" w:type="dxa"/>
            <w:tcBorders>
              <w:tl2br w:val="nil"/>
              <w:tr2bl w:val="nil"/>
            </w:tcBorders>
          </w:tcPr>
          <w:p w14:paraId="229DDC0D">
            <w:pPr>
              <w:jc w:val="center"/>
              <w:rPr>
                <w:rFonts w:ascii="宋体"/>
                <w:sz w:val="20"/>
                <w:szCs w:val="16"/>
              </w:rPr>
            </w:pPr>
            <w:r>
              <w:rPr>
                <w:rFonts w:ascii="宋体"/>
                <w:sz w:val="20"/>
                <w:szCs w:val="16"/>
              </w:rPr>
              <w:t>1</w:t>
            </w:r>
            <w:r>
              <w:rPr>
                <w:rFonts w:hint="eastAsia" w:ascii="宋体"/>
                <w:sz w:val="20"/>
                <w:szCs w:val="16"/>
              </w:rPr>
              <w:t>0</w:t>
            </w:r>
          </w:p>
        </w:tc>
        <w:tc>
          <w:tcPr>
            <w:tcW w:w="1271" w:type="dxa"/>
            <w:tcBorders>
              <w:tl2br w:val="nil"/>
              <w:tr2bl w:val="nil"/>
            </w:tcBorders>
          </w:tcPr>
          <w:p w14:paraId="1D0FA622">
            <w:pPr>
              <w:pStyle w:val="165"/>
              <w:rPr>
                <w:rFonts w:ascii="宋体"/>
                <w:szCs w:val="18"/>
              </w:rPr>
            </w:pPr>
            <w:r>
              <w:rPr>
                <w:rFonts w:hint="eastAsia" w:ascii="宋体"/>
                <w:szCs w:val="18"/>
              </w:rPr>
              <w:t>5</w:t>
            </w:r>
          </w:p>
        </w:tc>
        <w:tc>
          <w:tcPr>
            <w:tcW w:w="1149" w:type="dxa"/>
            <w:tcBorders>
              <w:tl2br w:val="nil"/>
              <w:tr2bl w:val="nil"/>
            </w:tcBorders>
          </w:tcPr>
          <w:p w14:paraId="7C651DCC">
            <w:pPr>
              <w:jc w:val="center"/>
              <w:rPr>
                <w:rFonts w:ascii="宋体"/>
                <w:sz w:val="18"/>
                <w:szCs w:val="18"/>
              </w:rPr>
            </w:pPr>
            <w:r>
              <w:rPr>
                <w:rFonts w:hint="eastAsia" w:ascii="宋体"/>
                <w:sz w:val="18"/>
                <w:szCs w:val="18"/>
              </w:rPr>
              <w:t>2</w:t>
            </w:r>
          </w:p>
        </w:tc>
      </w:tr>
      <w:tr w14:paraId="71D8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continue"/>
            <w:tcBorders>
              <w:tl2br w:val="nil"/>
              <w:tr2bl w:val="nil"/>
            </w:tcBorders>
            <w:vAlign w:val="center"/>
          </w:tcPr>
          <w:p w14:paraId="6307449B">
            <w:pPr>
              <w:pStyle w:val="165"/>
              <w:rPr>
                <w:rFonts w:ascii="宋体"/>
                <w:szCs w:val="18"/>
              </w:rPr>
            </w:pPr>
          </w:p>
        </w:tc>
        <w:tc>
          <w:tcPr>
            <w:tcW w:w="2313" w:type="dxa"/>
            <w:tcBorders>
              <w:tl2br w:val="nil"/>
              <w:tr2bl w:val="nil"/>
            </w:tcBorders>
            <w:vAlign w:val="center"/>
          </w:tcPr>
          <w:p w14:paraId="28DFD75C">
            <w:pPr>
              <w:pStyle w:val="165"/>
              <w:rPr>
                <w:rFonts w:ascii="宋体"/>
                <w:szCs w:val="18"/>
              </w:rPr>
            </w:pPr>
            <w:r>
              <w:rPr>
                <w:rFonts w:ascii="宋体"/>
                <w:szCs w:val="18"/>
              </w:rPr>
              <w:t>特殊情境心理照护</w:t>
            </w:r>
          </w:p>
        </w:tc>
        <w:tc>
          <w:tcPr>
            <w:tcW w:w="1210" w:type="dxa"/>
            <w:tcBorders>
              <w:tl2br w:val="nil"/>
              <w:tr2bl w:val="nil"/>
            </w:tcBorders>
          </w:tcPr>
          <w:p w14:paraId="2E55B13A">
            <w:pPr>
              <w:jc w:val="center"/>
              <w:rPr>
                <w:rFonts w:ascii="宋体"/>
                <w:sz w:val="20"/>
                <w:szCs w:val="16"/>
              </w:rPr>
            </w:pPr>
            <w:r>
              <w:rPr>
                <w:rFonts w:ascii="宋体"/>
                <w:sz w:val="20"/>
                <w:szCs w:val="16"/>
              </w:rPr>
              <w:t>1</w:t>
            </w:r>
            <w:r>
              <w:rPr>
                <w:rFonts w:hint="eastAsia" w:ascii="宋体"/>
                <w:sz w:val="20"/>
                <w:szCs w:val="16"/>
              </w:rPr>
              <w:t>0</w:t>
            </w:r>
          </w:p>
        </w:tc>
        <w:tc>
          <w:tcPr>
            <w:tcW w:w="1271" w:type="dxa"/>
            <w:tcBorders>
              <w:tl2br w:val="nil"/>
              <w:tr2bl w:val="nil"/>
            </w:tcBorders>
          </w:tcPr>
          <w:p w14:paraId="287CB884">
            <w:pPr>
              <w:pStyle w:val="165"/>
              <w:rPr>
                <w:rFonts w:ascii="宋体"/>
                <w:szCs w:val="18"/>
              </w:rPr>
            </w:pPr>
            <w:r>
              <w:rPr>
                <w:rFonts w:hint="eastAsia" w:ascii="宋体"/>
                <w:szCs w:val="18"/>
              </w:rPr>
              <w:t>5</w:t>
            </w:r>
          </w:p>
        </w:tc>
        <w:tc>
          <w:tcPr>
            <w:tcW w:w="1149" w:type="dxa"/>
            <w:tcBorders>
              <w:tl2br w:val="nil"/>
              <w:tr2bl w:val="nil"/>
            </w:tcBorders>
          </w:tcPr>
          <w:p w14:paraId="53BF6D81">
            <w:pPr>
              <w:jc w:val="center"/>
              <w:rPr>
                <w:rFonts w:ascii="宋体"/>
                <w:sz w:val="18"/>
                <w:szCs w:val="18"/>
              </w:rPr>
            </w:pPr>
            <w:r>
              <w:rPr>
                <w:rFonts w:hint="eastAsia" w:ascii="宋体"/>
                <w:sz w:val="18"/>
                <w:szCs w:val="18"/>
              </w:rPr>
              <w:t>2</w:t>
            </w:r>
          </w:p>
        </w:tc>
      </w:tr>
      <w:tr w14:paraId="2853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restart"/>
            <w:tcBorders>
              <w:tl2br w:val="nil"/>
              <w:tr2bl w:val="nil"/>
            </w:tcBorders>
            <w:vAlign w:val="center"/>
          </w:tcPr>
          <w:p w14:paraId="246F3632">
            <w:pPr>
              <w:pStyle w:val="165"/>
              <w:rPr>
                <w:rFonts w:ascii="宋体"/>
                <w:szCs w:val="18"/>
              </w:rPr>
            </w:pPr>
            <w:r>
              <w:rPr>
                <w:rFonts w:ascii="宋体"/>
                <w:szCs w:val="18"/>
              </w:rPr>
              <w:t>职业素养（</w:t>
            </w:r>
            <w:r>
              <w:rPr>
                <w:rFonts w:hint="eastAsia" w:ascii="宋体"/>
                <w:szCs w:val="18"/>
              </w:rPr>
              <w:t>20分</w:t>
            </w:r>
            <w:r>
              <w:rPr>
                <w:rFonts w:ascii="宋体"/>
                <w:szCs w:val="18"/>
              </w:rPr>
              <w:t>）</w:t>
            </w:r>
          </w:p>
        </w:tc>
        <w:tc>
          <w:tcPr>
            <w:tcW w:w="2313" w:type="dxa"/>
            <w:tcBorders>
              <w:tl2br w:val="nil"/>
              <w:tr2bl w:val="nil"/>
            </w:tcBorders>
            <w:vAlign w:val="center"/>
          </w:tcPr>
          <w:p w14:paraId="597ED363">
            <w:pPr>
              <w:pStyle w:val="165"/>
              <w:rPr>
                <w:rFonts w:ascii="宋体"/>
                <w:szCs w:val="18"/>
              </w:rPr>
            </w:pPr>
            <w:r>
              <w:rPr>
                <w:rFonts w:ascii="宋体"/>
                <w:szCs w:val="18"/>
              </w:rPr>
              <w:t>同理心与人文关怀</w:t>
            </w:r>
          </w:p>
        </w:tc>
        <w:tc>
          <w:tcPr>
            <w:tcW w:w="1210" w:type="dxa"/>
            <w:tcBorders>
              <w:tl2br w:val="nil"/>
              <w:tr2bl w:val="nil"/>
            </w:tcBorders>
          </w:tcPr>
          <w:p w14:paraId="718051C8">
            <w:pPr>
              <w:jc w:val="center"/>
              <w:rPr>
                <w:rFonts w:ascii="宋体"/>
                <w:sz w:val="20"/>
                <w:szCs w:val="16"/>
              </w:rPr>
            </w:pPr>
            <w:r>
              <w:rPr>
                <w:rFonts w:ascii="宋体"/>
                <w:sz w:val="20"/>
                <w:szCs w:val="16"/>
              </w:rPr>
              <w:t>1</w:t>
            </w:r>
            <w:r>
              <w:rPr>
                <w:rFonts w:hint="eastAsia" w:ascii="宋体"/>
                <w:sz w:val="20"/>
                <w:szCs w:val="16"/>
              </w:rPr>
              <w:t>0</w:t>
            </w:r>
          </w:p>
        </w:tc>
        <w:tc>
          <w:tcPr>
            <w:tcW w:w="1271" w:type="dxa"/>
            <w:tcBorders>
              <w:tl2br w:val="nil"/>
              <w:tr2bl w:val="nil"/>
            </w:tcBorders>
          </w:tcPr>
          <w:p w14:paraId="62CE572C">
            <w:pPr>
              <w:pStyle w:val="165"/>
              <w:rPr>
                <w:rFonts w:ascii="宋体"/>
                <w:szCs w:val="18"/>
              </w:rPr>
            </w:pPr>
            <w:r>
              <w:rPr>
                <w:rFonts w:hint="eastAsia" w:ascii="宋体"/>
                <w:szCs w:val="18"/>
              </w:rPr>
              <w:t>5</w:t>
            </w:r>
          </w:p>
        </w:tc>
        <w:tc>
          <w:tcPr>
            <w:tcW w:w="1149" w:type="dxa"/>
            <w:tcBorders>
              <w:tl2br w:val="nil"/>
              <w:tr2bl w:val="nil"/>
            </w:tcBorders>
          </w:tcPr>
          <w:p w14:paraId="20F31405">
            <w:pPr>
              <w:jc w:val="center"/>
              <w:rPr>
                <w:rFonts w:ascii="宋体"/>
                <w:sz w:val="18"/>
                <w:szCs w:val="18"/>
              </w:rPr>
            </w:pPr>
            <w:r>
              <w:rPr>
                <w:rFonts w:hint="eastAsia" w:ascii="宋体"/>
                <w:sz w:val="18"/>
                <w:szCs w:val="18"/>
              </w:rPr>
              <w:t>2</w:t>
            </w:r>
          </w:p>
        </w:tc>
      </w:tr>
      <w:tr w14:paraId="6936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continue"/>
            <w:tcBorders>
              <w:tl2br w:val="nil"/>
              <w:tr2bl w:val="nil"/>
            </w:tcBorders>
            <w:vAlign w:val="center"/>
          </w:tcPr>
          <w:p w14:paraId="2FF61B0C">
            <w:pPr>
              <w:pStyle w:val="165"/>
              <w:rPr>
                <w:rFonts w:ascii="宋体"/>
                <w:szCs w:val="18"/>
              </w:rPr>
            </w:pPr>
          </w:p>
        </w:tc>
        <w:tc>
          <w:tcPr>
            <w:tcW w:w="2313" w:type="dxa"/>
            <w:tcBorders>
              <w:tl2br w:val="nil"/>
              <w:tr2bl w:val="nil"/>
            </w:tcBorders>
            <w:vAlign w:val="center"/>
          </w:tcPr>
          <w:p w14:paraId="0F786731">
            <w:pPr>
              <w:pStyle w:val="165"/>
              <w:rPr>
                <w:rFonts w:ascii="宋体"/>
                <w:szCs w:val="18"/>
              </w:rPr>
            </w:pPr>
            <w:r>
              <w:rPr>
                <w:rFonts w:ascii="宋体"/>
                <w:szCs w:val="18"/>
              </w:rPr>
              <w:t>情绪管理与自我调适</w:t>
            </w:r>
          </w:p>
        </w:tc>
        <w:tc>
          <w:tcPr>
            <w:tcW w:w="1210" w:type="dxa"/>
            <w:tcBorders>
              <w:tl2br w:val="nil"/>
              <w:tr2bl w:val="nil"/>
            </w:tcBorders>
          </w:tcPr>
          <w:p w14:paraId="191B6F63">
            <w:pPr>
              <w:pStyle w:val="165"/>
              <w:rPr>
                <w:rFonts w:ascii="宋体"/>
                <w:szCs w:val="18"/>
              </w:rPr>
            </w:pPr>
            <w:r>
              <w:rPr>
                <w:rFonts w:hint="eastAsia" w:ascii="宋体"/>
                <w:szCs w:val="18"/>
              </w:rPr>
              <w:t>5</w:t>
            </w:r>
          </w:p>
        </w:tc>
        <w:tc>
          <w:tcPr>
            <w:tcW w:w="1271" w:type="dxa"/>
            <w:tcBorders>
              <w:tl2br w:val="nil"/>
              <w:tr2bl w:val="nil"/>
            </w:tcBorders>
          </w:tcPr>
          <w:p w14:paraId="4C8CDF5D">
            <w:pPr>
              <w:pStyle w:val="165"/>
              <w:rPr>
                <w:rFonts w:ascii="宋体"/>
                <w:szCs w:val="18"/>
              </w:rPr>
            </w:pPr>
            <w:r>
              <w:rPr>
                <w:rFonts w:hint="eastAsia" w:ascii="宋体"/>
                <w:szCs w:val="18"/>
              </w:rPr>
              <w:t>5</w:t>
            </w:r>
          </w:p>
        </w:tc>
        <w:tc>
          <w:tcPr>
            <w:tcW w:w="1149" w:type="dxa"/>
            <w:tcBorders>
              <w:tl2br w:val="nil"/>
              <w:tr2bl w:val="nil"/>
            </w:tcBorders>
          </w:tcPr>
          <w:p w14:paraId="5361C7AE">
            <w:pPr>
              <w:jc w:val="center"/>
              <w:rPr>
                <w:rFonts w:ascii="宋体"/>
                <w:sz w:val="18"/>
                <w:szCs w:val="18"/>
              </w:rPr>
            </w:pPr>
            <w:r>
              <w:rPr>
                <w:rFonts w:ascii="宋体"/>
                <w:sz w:val="18"/>
                <w:szCs w:val="18"/>
              </w:rPr>
              <w:t>1</w:t>
            </w:r>
          </w:p>
        </w:tc>
      </w:tr>
      <w:tr w14:paraId="7510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continue"/>
            <w:tcBorders>
              <w:tl2br w:val="nil"/>
              <w:tr2bl w:val="nil"/>
            </w:tcBorders>
            <w:vAlign w:val="center"/>
          </w:tcPr>
          <w:p w14:paraId="5EE909B7">
            <w:pPr>
              <w:pStyle w:val="165"/>
              <w:rPr>
                <w:rFonts w:ascii="宋体"/>
                <w:szCs w:val="18"/>
              </w:rPr>
            </w:pPr>
          </w:p>
        </w:tc>
        <w:tc>
          <w:tcPr>
            <w:tcW w:w="2313" w:type="dxa"/>
            <w:tcBorders>
              <w:tl2br w:val="nil"/>
              <w:tr2bl w:val="nil"/>
            </w:tcBorders>
            <w:vAlign w:val="center"/>
          </w:tcPr>
          <w:p w14:paraId="2D268D58">
            <w:pPr>
              <w:pStyle w:val="165"/>
              <w:rPr>
                <w:rFonts w:ascii="宋体"/>
                <w:szCs w:val="18"/>
              </w:rPr>
            </w:pPr>
            <w:r>
              <w:rPr>
                <w:rFonts w:ascii="宋体"/>
                <w:szCs w:val="18"/>
              </w:rPr>
              <w:t>职业认同与专业发展</w:t>
            </w:r>
          </w:p>
        </w:tc>
        <w:tc>
          <w:tcPr>
            <w:tcW w:w="1210" w:type="dxa"/>
            <w:tcBorders>
              <w:tl2br w:val="nil"/>
              <w:tr2bl w:val="nil"/>
            </w:tcBorders>
          </w:tcPr>
          <w:p w14:paraId="3B0936F8">
            <w:pPr>
              <w:pStyle w:val="165"/>
              <w:rPr>
                <w:rFonts w:ascii="宋体"/>
                <w:szCs w:val="18"/>
              </w:rPr>
            </w:pPr>
            <w:r>
              <w:rPr>
                <w:rFonts w:hint="eastAsia" w:ascii="宋体"/>
                <w:szCs w:val="18"/>
              </w:rPr>
              <w:t>5</w:t>
            </w:r>
          </w:p>
        </w:tc>
        <w:tc>
          <w:tcPr>
            <w:tcW w:w="1271" w:type="dxa"/>
            <w:tcBorders>
              <w:tl2br w:val="nil"/>
              <w:tr2bl w:val="nil"/>
            </w:tcBorders>
          </w:tcPr>
          <w:p w14:paraId="6B8EA54D">
            <w:pPr>
              <w:pStyle w:val="165"/>
              <w:rPr>
                <w:rFonts w:ascii="宋体"/>
                <w:szCs w:val="18"/>
              </w:rPr>
            </w:pPr>
            <w:r>
              <w:rPr>
                <w:rFonts w:hint="eastAsia" w:ascii="宋体"/>
                <w:szCs w:val="18"/>
              </w:rPr>
              <w:t>5</w:t>
            </w:r>
          </w:p>
        </w:tc>
        <w:tc>
          <w:tcPr>
            <w:tcW w:w="1149" w:type="dxa"/>
            <w:tcBorders>
              <w:tl2br w:val="nil"/>
              <w:tr2bl w:val="nil"/>
            </w:tcBorders>
          </w:tcPr>
          <w:p w14:paraId="5A6879AD">
            <w:pPr>
              <w:jc w:val="center"/>
              <w:rPr>
                <w:rFonts w:ascii="宋体"/>
                <w:sz w:val="18"/>
                <w:szCs w:val="18"/>
              </w:rPr>
            </w:pPr>
            <w:r>
              <w:rPr>
                <w:rFonts w:ascii="宋体"/>
                <w:sz w:val="18"/>
                <w:szCs w:val="18"/>
              </w:rPr>
              <w:t>1</w:t>
            </w:r>
          </w:p>
        </w:tc>
      </w:tr>
      <w:tr w14:paraId="7922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53" w:hRule="atLeast"/>
          <w:jc w:val="center"/>
        </w:trPr>
        <w:tc>
          <w:tcPr>
            <w:tcW w:w="3110" w:type="dxa"/>
            <w:vMerge w:val="restart"/>
            <w:tcBorders>
              <w:tl2br w:val="nil"/>
              <w:tr2bl w:val="nil"/>
            </w:tcBorders>
            <w:vAlign w:val="center"/>
          </w:tcPr>
          <w:p w14:paraId="1EE31644">
            <w:pPr>
              <w:pStyle w:val="165"/>
              <w:rPr>
                <w:rFonts w:ascii="宋体"/>
                <w:szCs w:val="18"/>
              </w:rPr>
            </w:pPr>
            <w:r>
              <w:rPr>
                <w:rFonts w:ascii="宋体"/>
                <w:szCs w:val="18"/>
              </w:rPr>
              <w:t>综合能力</w:t>
            </w:r>
            <w:r>
              <w:rPr>
                <w:rFonts w:hint="eastAsia" w:ascii="宋体"/>
                <w:szCs w:val="18"/>
              </w:rPr>
              <w:t>（</w:t>
            </w:r>
            <w:r>
              <w:rPr>
                <w:rFonts w:ascii="宋体"/>
                <w:szCs w:val="18"/>
              </w:rPr>
              <w:t>1</w:t>
            </w:r>
            <w:r>
              <w:rPr>
                <w:rFonts w:hint="eastAsia" w:ascii="宋体"/>
                <w:szCs w:val="18"/>
              </w:rPr>
              <w:t>0分</w:t>
            </w:r>
            <w:r>
              <w:rPr>
                <w:rFonts w:ascii="宋体"/>
                <w:szCs w:val="18"/>
              </w:rPr>
              <w:t>）</w:t>
            </w:r>
          </w:p>
        </w:tc>
        <w:tc>
          <w:tcPr>
            <w:tcW w:w="2313" w:type="dxa"/>
            <w:tcBorders>
              <w:tl2br w:val="nil"/>
              <w:tr2bl w:val="nil"/>
            </w:tcBorders>
            <w:vAlign w:val="center"/>
          </w:tcPr>
          <w:p w14:paraId="08D9F178">
            <w:pPr>
              <w:pStyle w:val="165"/>
              <w:rPr>
                <w:rFonts w:ascii="宋体"/>
                <w:szCs w:val="18"/>
              </w:rPr>
            </w:pPr>
            <w:r>
              <w:rPr>
                <w:rFonts w:ascii="宋体"/>
                <w:szCs w:val="18"/>
              </w:rPr>
              <w:t>综合评估与团队协作</w:t>
            </w:r>
          </w:p>
        </w:tc>
        <w:tc>
          <w:tcPr>
            <w:tcW w:w="1210" w:type="dxa"/>
            <w:tcBorders>
              <w:tl2br w:val="nil"/>
              <w:tr2bl w:val="nil"/>
            </w:tcBorders>
          </w:tcPr>
          <w:p w14:paraId="2C113600">
            <w:pPr>
              <w:pStyle w:val="165"/>
              <w:rPr>
                <w:rFonts w:ascii="宋体"/>
                <w:szCs w:val="18"/>
              </w:rPr>
            </w:pPr>
            <w:r>
              <w:rPr>
                <w:rFonts w:hint="eastAsia" w:ascii="宋体"/>
                <w:szCs w:val="18"/>
              </w:rPr>
              <w:t>5</w:t>
            </w:r>
          </w:p>
        </w:tc>
        <w:tc>
          <w:tcPr>
            <w:tcW w:w="1271" w:type="dxa"/>
            <w:tcBorders>
              <w:tl2br w:val="nil"/>
              <w:tr2bl w:val="nil"/>
            </w:tcBorders>
          </w:tcPr>
          <w:p w14:paraId="2B517AB0">
            <w:pPr>
              <w:pStyle w:val="165"/>
              <w:rPr>
                <w:rFonts w:ascii="宋体"/>
                <w:szCs w:val="18"/>
              </w:rPr>
            </w:pPr>
            <w:r>
              <w:rPr>
                <w:rFonts w:hint="eastAsia" w:ascii="宋体"/>
                <w:szCs w:val="18"/>
              </w:rPr>
              <w:t>5</w:t>
            </w:r>
          </w:p>
        </w:tc>
        <w:tc>
          <w:tcPr>
            <w:tcW w:w="1149" w:type="dxa"/>
            <w:tcBorders>
              <w:tl2br w:val="nil"/>
              <w:tr2bl w:val="nil"/>
            </w:tcBorders>
          </w:tcPr>
          <w:p w14:paraId="6FDC7FDC">
            <w:pPr>
              <w:jc w:val="center"/>
              <w:rPr>
                <w:rFonts w:ascii="宋体"/>
                <w:sz w:val="18"/>
                <w:szCs w:val="18"/>
              </w:rPr>
            </w:pPr>
            <w:r>
              <w:rPr>
                <w:rFonts w:ascii="宋体"/>
                <w:sz w:val="18"/>
                <w:szCs w:val="18"/>
              </w:rPr>
              <w:t>1</w:t>
            </w:r>
          </w:p>
        </w:tc>
      </w:tr>
      <w:tr w14:paraId="08F4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3110" w:type="dxa"/>
            <w:vMerge w:val="continue"/>
            <w:tcBorders>
              <w:tl2br w:val="nil"/>
              <w:tr2bl w:val="nil"/>
            </w:tcBorders>
            <w:vAlign w:val="center"/>
          </w:tcPr>
          <w:p w14:paraId="2BED7295">
            <w:pPr>
              <w:pStyle w:val="165"/>
              <w:rPr>
                <w:rFonts w:ascii="宋体"/>
                <w:szCs w:val="18"/>
              </w:rPr>
            </w:pPr>
          </w:p>
        </w:tc>
        <w:tc>
          <w:tcPr>
            <w:tcW w:w="2313" w:type="dxa"/>
            <w:tcBorders>
              <w:tl2br w:val="nil"/>
              <w:tr2bl w:val="nil"/>
            </w:tcBorders>
            <w:vAlign w:val="center"/>
          </w:tcPr>
          <w:p w14:paraId="4F517E31">
            <w:pPr>
              <w:pStyle w:val="165"/>
              <w:rPr>
                <w:rFonts w:ascii="宋体"/>
                <w:szCs w:val="18"/>
              </w:rPr>
            </w:pPr>
            <w:r>
              <w:rPr>
                <w:rFonts w:ascii="宋体"/>
                <w:szCs w:val="18"/>
              </w:rPr>
              <w:t>家属沟通与健康指导</w:t>
            </w:r>
          </w:p>
        </w:tc>
        <w:tc>
          <w:tcPr>
            <w:tcW w:w="1210" w:type="dxa"/>
            <w:tcBorders>
              <w:tl2br w:val="nil"/>
              <w:tr2bl w:val="nil"/>
            </w:tcBorders>
          </w:tcPr>
          <w:p w14:paraId="04630342">
            <w:pPr>
              <w:pStyle w:val="165"/>
              <w:rPr>
                <w:rFonts w:ascii="宋体"/>
                <w:szCs w:val="18"/>
              </w:rPr>
            </w:pPr>
            <w:r>
              <w:rPr>
                <w:rFonts w:hint="eastAsia" w:ascii="宋体"/>
                <w:szCs w:val="18"/>
              </w:rPr>
              <w:t>5</w:t>
            </w:r>
          </w:p>
        </w:tc>
        <w:tc>
          <w:tcPr>
            <w:tcW w:w="1271" w:type="dxa"/>
            <w:tcBorders>
              <w:tl2br w:val="nil"/>
              <w:tr2bl w:val="nil"/>
            </w:tcBorders>
          </w:tcPr>
          <w:p w14:paraId="6580AC34">
            <w:pPr>
              <w:pStyle w:val="165"/>
              <w:rPr>
                <w:rFonts w:ascii="宋体"/>
                <w:szCs w:val="18"/>
              </w:rPr>
            </w:pPr>
            <w:r>
              <w:rPr>
                <w:rFonts w:hint="eastAsia" w:ascii="宋体"/>
                <w:szCs w:val="18"/>
              </w:rPr>
              <w:t>5</w:t>
            </w:r>
          </w:p>
        </w:tc>
        <w:tc>
          <w:tcPr>
            <w:tcW w:w="1149" w:type="dxa"/>
            <w:tcBorders>
              <w:tl2br w:val="nil"/>
              <w:tr2bl w:val="nil"/>
            </w:tcBorders>
          </w:tcPr>
          <w:p w14:paraId="145B2DB2">
            <w:pPr>
              <w:jc w:val="center"/>
              <w:rPr>
                <w:rFonts w:ascii="宋体"/>
                <w:sz w:val="18"/>
                <w:szCs w:val="18"/>
              </w:rPr>
            </w:pPr>
            <w:r>
              <w:rPr>
                <w:rFonts w:ascii="宋体"/>
                <w:sz w:val="18"/>
                <w:szCs w:val="18"/>
              </w:rPr>
              <w:t>1</w:t>
            </w:r>
          </w:p>
        </w:tc>
      </w:tr>
    </w:tbl>
    <w:p w14:paraId="30A5DDC9">
      <w:pPr>
        <w:pStyle w:val="47"/>
        <w:numPr>
          <w:ilvl w:val="3"/>
          <w:numId w:val="0"/>
        </w:numPr>
        <w:rPr>
          <w:rFonts w:ascii="黑体" w:eastAsia="黑体"/>
        </w:rPr>
      </w:pPr>
      <w:r>
        <w:rPr>
          <w:rFonts w:hint="eastAsia" w:ascii="黑体" w:eastAsia="黑体"/>
        </w:rPr>
        <w:t>5.6.2　</w:t>
      </w:r>
      <w:r>
        <w:rPr>
          <w:rFonts w:ascii="Segoe UI" w:hAnsi="Segoe UI" w:eastAsia="Segoe UI" w:cs="Segoe UI"/>
          <w:b/>
          <w:bCs/>
          <w:color w:val="0F1115"/>
          <w:sz w:val="24"/>
          <w:szCs w:val="24"/>
          <w:shd w:val="clear" w:color="auto" w:fill="FFFFFF"/>
        </w:rPr>
        <w:t> </w:t>
      </w:r>
      <w:r>
        <w:rPr>
          <w:rFonts w:ascii="黑体" w:eastAsia="黑体"/>
        </w:rPr>
        <w:t>评价要点（三级指标）评分标准</w:t>
      </w:r>
    </w:p>
    <w:p w14:paraId="663A2A54">
      <w:pPr>
        <w:pStyle w:val="164"/>
        <w:spacing w:before="156" w:after="156"/>
        <w:rPr>
          <w:rFonts w:ascii="宋体" w:eastAsia="宋体"/>
          <w:sz w:val="18"/>
          <w:szCs w:val="16"/>
        </w:rPr>
      </w:pPr>
      <w:r>
        <w:rPr>
          <w:rFonts w:hint="eastAsia" w:ascii="宋体" w:eastAsia="宋体"/>
          <w:sz w:val="18"/>
          <w:szCs w:val="16"/>
        </w:rPr>
        <w:t>评价要点（三级指标）评分方法</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0" w:type="dxa"/>
          <w:bottom w:w="0" w:type="dxa"/>
          <w:right w:w="100" w:type="dxa"/>
        </w:tblCellMar>
      </w:tblPr>
      <w:tblGrid>
        <w:gridCol w:w="1037"/>
        <w:gridCol w:w="1523"/>
        <w:gridCol w:w="5849"/>
      </w:tblGrid>
      <w:tr w14:paraId="2E9B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397" w:hRule="exact"/>
          <w:tblHeader/>
          <w:jc w:val="center"/>
        </w:trPr>
        <w:tc>
          <w:tcPr>
            <w:tcW w:w="1037" w:type="dxa"/>
            <w:tcBorders>
              <w:top w:val="single" w:color="auto" w:sz="2" w:space="0"/>
              <w:left w:val="single" w:color="auto" w:sz="2" w:space="0"/>
              <w:bottom w:val="single" w:color="auto" w:sz="2" w:space="0"/>
              <w:right w:val="single" w:color="auto" w:sz="2" w:space="0"/>
            </w:tcBorders>
            <w:vAlign w:val="center"/>
          </w:tcPr>
          <w:p w14:paraId="6076CF33">
            <w:pPr>
              <w:pStyle w:val="165"/>
              <w:rPr>
                <w:rFonts w:ascii="宋体"/>
                <w:b/>
                <w:bCs/>
                <w:szCs w:val="18"/>
              </w:rPr>
            </w:pPr>
            <w:r>
              <w:rPr>
                <w:rFonts w:ascii="宋体"/>
                <w:b/>
                <w:bCs/>
                <w:szCs w:val="18"/>
              </w:rPr>
              <w:t>评价等级</w:t>
            </w:r>
          </w:p>
        </w:tc>
        <w:tc>
          <w:tcPr>
            <w:tcW w:w="1523" w:type="dxa"/>
            <w:tcBorders>
              <w:top w:val="single" w:color="auto" w:sz="2" w:space="0"/>
              <w:left w:val="single" w:color="auto" w:sz="2" w:space="0"/>
              <w:bottom w:val="single" w:color="auto" w:sz="2" w:space="0"/>
              <w:right w:val="single" w:color="auto" w:sz="2" w:space="0"/>
            </w:tcBorders>
            <w:vAlign w:val="center"/>
          </w:tcPr>
          <w:p w14:paraId="48F7CCF1">
            <w:pPr>
              <w:pStyle w:val="165"/>
              <w:rPr>
                <w:rFonts w:ascii="宋体"/>
                <w:b/>
                <w:bCs/>
                <w:szCs w:val="18"/>
              </w:rPr>
            </w:pPr>
            <w:r>
              <w:rPr>
                <w:rFonts w:hint="eastAsia" w:ascii="宋体"/>
                <w:b/>
                <w:bCs/>
                <w:szCs w:val="18"/>
              </w:rPr>
              <w:t>等级</w:t>
            </w:r>
            <w:r>
              <w:rPr>
                <w:rFonts w:ascii="宋体"/>
                <w:b/>
                <w:bCs/>
                <w:szCs w:val="18"/>
              </w:rPr>
              <w:t>系数</w:t>
            </w:r>
          </w:p>
        </w:tc>
        <w:tc>
          <w:tcPr>
            <w:tcW w:w="5849" w:type="dxa"/>
            <w:tcBorders>
              <w:top w:val="single" w:color="auto" w:sz="2" w:space="0"/>
              <w:left w:val="single" w:color="auto" w:sz="2" w:space="0"/>
              <w:bottom w:val="single" w:color="auto" w:sz="2" w:space="0"/>
              <w:right w:val="single" w:color="auto" w:sz="2" w:space="0"/>
            </w:tcBorders>
            <w:vAlign w:val="center"/>
          </w:tcPr>
          <w:p w14:paraId="657E053A">
            <w:pPr>
              <w:pStyle w:val="165"/>
              <w:rPr>
                <w:rFonts w:ascii="宋体"/>
                <w:b/>
                <w:bCs/>
                <w:szCs w:val="18"/>
              </w:rPr>
            </w:pPr>
            <w:r>
              <w:rPr>
                <w:rFonts w:ascii="宋体"/>
                <w:b/>
                <w:bCs/>
                <w:szCs w:val="18"/>
              </w:rPr>
              <w:t>行为特征描述</w:t>
            </w:r>
          </w:p>
        </w:tc>
      </w:tr>
      <w:tr w14:paraId="07C9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397" w:hRule="exact"/>
          <w:tblHeader/>
          <w:jc w:val="center"/>
        </w:trPr>
        <w:tc>
          <w:tcPr>
            <w:tcW w:w="1037" w:type="dxa"/>
            <w:tcBorders>
              <w:top w:val="single" w:color="auto" w:sz="2" w:space="0"/>
              <w:left w:val="single" w:color="auto" w:sz="2" w:space="0"/>
              <w:bottom w:val="single" w:color="auto" w:sz="2" w:space="0"/>
              <w:right w:val="single" w:color="auto" w:sz="2" w:space="0"/>
            </w:tcBorders>
            <w:vAlign w:val="center"/>
          </w:tcPr>
          <w:p w14:paraId="1BC26D0F">
            <w:pPr>
              <w:pStyle w:val="165"/>
              <w:rPr>
                <w:rFonts w:ascii="宋体"/>
                <w:szCs w:val="18"/>
              </w:rPr>
            </w:pPr>
            <w:r>
              <w:rPr>
                <w:rFonts w:hint="eastAsia" w:ascii="宋体"/>
                <w:szCs w:val="18"/>
              </w:rPr>
              <w:t>5级</w:t>
            </w:r>
          </w:p>
        </w:tc>
        <w:tc>
          <w:tcPr>
            <w:tcW w:w="1523" w:type="dxa"/>
            <w:tcBorders>
              <w:top w:val="single" w:color="auto" w:sz="2" w:space="0"/>
              <w:left w:val="single" w:color="auto" w:sz="2" w:space="0"/>
              <w:bottom w:val="single" w:color="auto" w:sz="2" w:space="0"/>
              <w:right w:val="single" w:color="auto" w:sz="2" w:space="0"/>
            </w:tcBorders>
            <w:vAlign w:val="center"/>
          </w:tcPr>
          <w:p w14:paraId="0CDE863C">
            <w:pPr>
              <w:pStyle w:val="165"/>
              <w:rPr>
                <w:rFonts w:ascii="宋体"/>
                <w:szCs w:val="18"/>
              </w:rPr>
            </w:pPr>
            <w:r>
              <w:rPr>
                <w:rFonts w:hint="eastAsia" w:ascii="宋体"/>
                <w:szCs w:val="18"/>
              </w:rPr>
              <w:t>100%</w:t>
            </w:r>
          </w:p>
        </w:tc>
        <w:tc>
          <w:tcPr>
            <w:tcW w:w="5849" w:type="dxa"/>
            <w:tcBorders>
              <w:top w:val="single" w:color="auto" w:sz="2" w:space="0"/>
              <w:left w:val="single" w:color="auto" w:sz="2" w:space="0"/>
              <w:bottom w:val="single" w:color="auto" w:sz="2" w:space="0"/>
              <w:right w:val="single" w:color="auto" w:sz="2" w:space="0"/>
            </w:tcBorders>
            <w:vAlign w:val="center"/>
          </w:tcPr>
          <w:p w14:paraId="4FD05E99">
            <w:pPr>
              <w:pStyle w:val="165"/>
              <w:jc w:val="left"/>
              <w:rPr>
                <w:rFonts w:ascii="宋体"/>
                <w:szCs w:val="18"/>
              </w:rPr>
            </w:pPr>
            <w:r>
              <w:rPr>
                <w:rFonts w:hint="eastAsia" w:ascii="宋体"/>
                <w:szCs w:val="18"/>
              </w:rPr>
              <w:t>能够独立、熟练、灵活地完成，并能在复杂情境中迁移应用</w:t>
            </w:r>
          </w:p>
        </w:tc>
      </w:tr>
      <w:tr w14:paraId="4337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397" w:hRule="exact"/>
          <w:tblHeader/>
          <w:jc w:val="center"/>
        </w:trPr>
        <w:tc>
          <w:tcPr>
            <w:tcW w:w="1037" w:type="dxa"/>
            <w:tcBorders>
              <w:top w:val="single" w:color="auto" w:sz="2" w:space="0"/>
              <w:left w:val="single" w:color="auto" w:sz="2" w:space="0"/>
              <w:bottom w:val="single" w:color="auto" w:sz="2" w:space="0"/>
              <w:right w:val="single" w:color="auto" w:sz="2" w:space="0"/>
            </w:tcBorders>
            <w:vAlign w:val="center"/>
          </w:tcPr>
          <w:p w14:paraId="69864FD1">
            <w:pPr>
              <w:pStyle w:val="165"/>
              <w:rPr>
                <w:rFonts w:ascii="宋体"/>
                <w:szCs w:val="18"/>
              </w:rPr>
            </w:pPr>
            <w:r>
              <w:rPr>
                <w:rFonts w:hint="eastAsia" w:ascii="宋体"/>
                <w:szCs w:val="18"/>
              </w:rPr>
              <w:t>4级</w:t>
            </w:r>
          </w:p>
        </w:tc>
        <w:tc>
          <w:tcPr>
            <w:tcW w:w="1523" w:type="dxa"/>
            <w:tcBorders>
              <w:top w:val="single" w:color="auto" w:sz="2" w:space="0"/>
              <w:left w:val="single" w:color="auto" w:sz="2" w:space="0"/>
              <w:bottom w:val="single" w:color="auto" w:sz="2" w:space="0"/>
              <w:right w:val="single" w:color="auto" w:sz="2" w:space="0"/>
            </w:tcBorders>
            <w:vAlign w:val="center"/>
          </w:tcPr>
          <w:p w14:paraId="60B0F624">
            <w:pPr>
              <w:pStyle w:val="165"/>
              <w:rPr>
                <w:rFonts w:ascii="宋体"/>
                <w:szCs w:val="18"/>
              </w:rPr>
            </w:pPr>
            <w:r>
              <w:rPr>
                <w:rFonts w:hint="eastAsia" w:ascii="宋体"/>
                <w:szCs w:val="18"/>
              </w:rPr>
              <w:t>80%</w:t>
            </w:r>
          </w:p>
        </w:tc>
        <w:tc>
          <w:tcPr>
            <w:tcW w:w="5849" w:type="dxa"/>
            <w:tcBorders>
              <w:top w:val="single" w:color="auto" w:sz="2" w:space="0"/>
              <w:left w:val="single" w:color="auto" w:sz="2" w:space="0"/>
              <w:bottom w:val="single" w:color="auto" w:sz="2" w:space="0"/>
              <w:right w:val="single" w:color="auto" w:sz="2" w:space="0"/>
            </w:tcBorders>
            <w:vAlign w:val="center"/>
          </w:tcPr>
          <w:p w14:paraId="7FDFAE86">
            <w:pPr>
              <w:pStyle w:val="165"/>
              <w:jc w:val="left"/>
              <w:rPr>
                <w:rFonts w:ascii="宋体"/>
                <w:szCs w:val="18"/>
              </w:rPr>
            </w:pPr>
            <w:r>
              <w:rPr>
                <w:rFonts w:hint="eastAsia" w:ascii="宋体"/>
                <w:szCs w:val="18"/>
              </w:rPr>
              <w:t>能够独立、规范地完成，质量稳定</w:t>
            </w:r>
          </w:p>
        </w:tc>
      </w:tr>
      <w:tr w14:paraId="4282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397" w:hRule="exact"/>
          <w:tblHeader/>
          <w:jc w:val="center"/>
        </w:trPr>
        <w:tc>
          <w:tcPr>
            <w:tcW w:w="1037" w:type="dxa"/>
            <w:tcBorders>
              <w:top w:val="single" w:color="auto" w:sz="2" w:space="0"/>
              <w:left w:val="single" w:color="auto" w:sz="2" w:space="0"/>
              <w:bottom w:val="single" w:color="auto" w:sz="2" w:space="0"/>
              <w:right w:val="single" w:color="auto" w:sz="2" w:space="0"/>
            </w:tcBorders>
            <w:vAlign w:val="center"/>
          </w:tcPr>
          <w:p w14:paraId="383874C4">
            <w:pPr>
              <w:pStyle w:val="165"/>
              <w:rPr>
                <w:rFonts w:ascii="宋体"/>
                <w:szCs w:val="18"/>
              </w:rPr>
            </w:pPr>
            <w:r>
              <w:rPr>
                <w:rFonts w:hint="eastAsia" w:ascii="宋体"/>
                <w:szCs w:val="18"/>
              </w:rPr>
              <w:t>3级</w:t>
            </w:r>
          </w:p>
        </w:tc>
        <w:tc>
          <w:tcPr>
            <w:tcW w:w="1523" w:type="dxa"/>
            <w:tcBorders>
              <w:top w:val="single" w:color="auto" w:sz="2" w:space="0"/>
              <w:left w:val="single" w:color="auto" w:sz="2" w:space="0"/>
              <w:bottom w:val="single" w:color="auto" w:sz="2" w:space="0"/>
              <w:right w:val="single" w:color="auto" w:sz="2" w:space="0"/>
            </w:tcBorders>
            <w:vAlign w:val="center"/>
          </w:tcPr>
          <w:p w14:paraId="68E463B5">
            <w:pPr>
              <w:pStyle w:val="165"/>
              <w:rPr>
                <w:rFonts w:ascii="宋体"/>
                <w:szCs w:val="18"/>
              </w:rPr>
            </w:pPr>
            <w:r>
              <w:rPr>
                <w:rFonts w:hint="eastAsia" w:ascii="宋体"/>
                <w:szCs w:val="18"/>
              </w:rPr>
              <w:t>60%</w:t>
            </w:r>
          </w:p>
        </w:tc>
        <w:tc>
          <w:tcPr>
            <w:tcW w:w="5849" w:type="dxa"/>
            <w:tcBorders>
              <w:top w:val="single" w:color="auto" w:sz="2" w:space="0"/>
              <w:left w:val="single" w:color="auto" w:sz="2" w:space="0"/>
              <w:bottom w:val="single" w:color="auto" w:sz="2" w:space="0"/>
              <w:right w:val="single" w:color="auto" w:sz="2" w:space="0"/>
            </w:tcBorders>
            <w:vAlign w:val="center"/>
          </w:tcPr>
          <w:p w14:paraId="1CD21529">
            <w:pPr>
              <w:pStyle w:val="165"/>
              <w:jc w:val="left"/>
              <w:rPr>
                <w:rFonts w:ascii="宋体"/>
                <w:szCs w:val="18"/>
              </w:rPr>
            </w:pPr>
            <w:r>
              <w:rPr>
                <w:rFonts w:hint="eastAsia" w:ascii="宋体"/>
                <w:szCs w:val="18"/>
              </w:rPr>
              <w:t>能够在指导下完成，基本达到要求</w:t>
            </w:r>
          </w:p>
        </w:tc>
      </w:tr>
      <w:tr w14:paraId="5AA6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397" w:hRule="exact"/>
          <w:tblHeader/>
          <w:jc w:val="center"/>
        </w:trPr>
        <w:tc>
          <w:tcPr>
            <w:tcW w:w="1037" w:type="dxa"/>
            <w:tcBorders>
              <w:top w:val="single" w:color="auto" w:sz="2" w:space="0"/>
              <w:left w:val="single" w:color="auto" w:sz="2" w:space="0"/>
              <w:bottom w:val="single" w:color="auto" w:sz="2" w:space="0"/>
              <w:right w:val="single" w:color="auto" w:sz="2" w:space="0"/>
            </w:tcBorders>
            <w:vAlign w:val="center"/>
          </w:tcPr>
          <w:p w14:paraId="24EC86DD">
            <w:pPr>
              <w:pStyle w:val="165"/>
              <w:rPr>
                <w:rFonts w:ascii="宋体"/>
                <w:szCs w:val="18"/>
              </w:rPr>
            </w:pPr>
            <w:r>
              <w:rPr>
                <w:rFonts w:hint="eastAsia" w:ascii="宋体"/>
                <w:szCs w:val="18"/>
              </w:rPr>
              <w:t>2级</w:t>
            </w:r>
          </w:p>
        </w:tc>
        <w:tc>
          <w:tcPr>
            <w:tcW w:w="1523" w:type="dxa"/>
            <w:tcBorders>
              <w:top w:val="single" w:color="auto" w:sz="2" w:space="0"/>
              <w:left w:val="single" w:color="auto" w:sz="2" w:space="0"/>
              <w:bottom w:val="single" w:color="auto" w:sz="2" w:space="0"/>
              <w:right w:val="single" w:color="auto" w:sz="2" w:space="0"/>
            </w:tcBorders>
            <w:vAlign w:val="center"/>
          </w:tcPr>
          <w:p w14:paraId="20FE9185">
            <w:pPr>
              <w:pStyle w:val="165"/>
              <w:rPr>
                <w:rFonts w:ascii="宋体"/>
                <w:szCs w:val="18"/>
              </w:rPr>
            </w:pPr>
            <w:r>
              <w:rPr>
                <w:rFonts w:hint="eastAsia" w:ascii="宋体"/>
                <w:szCs w:val="18"/>
              </w:rPr>
              <w:t>40%</w:t>
            </w:r>
          </w:p>
        </w:tc>
        <w:tc>
          <w:tcPr>
            <w:tcW w:w="5849" w:type="dxa"/>
            <w:tcBorders>
              <w:top w:val="single" w:color="auto" w:sz="2" w:space="0"/>
              <w:left w:val="single" w:color="auto" w:sz="2" w:space="0"/>
              <w:bottom w:val="single" w:color="auto" w:sz="2" w:space="0"/>
              <w:right w:val="single" w:color="auto" w:sz="2" w:space="0"/>
            </w:tcBorders>
            <w:vAlign w:val="center"/>
          </w:tcPr>
          <w:p w14:paraId="61216EDC">
            <w:pPr>
              <w:pStyle w:val="165"/>
              <w:jc w:val="left"/>
              <w:rPr>
                <w:rFonts w:ascii="宋体"/>
                <w:szCs w:val="18"/>
              </w:rPr>
            </w:pPr>
            <w:r>
              <w:rPr>
                <w:rFonts w:hint="eastAsia" w:ascii="宋体"/>
                <w:szCs w:val="18"/>
              </w:rPr>
              <w:t>完成质量不稳定，需要较多指导</w:t>
            </w:r>
          </w:p>
        </w:tc>
      </w:tr>
      <w:tr w14:paraId="6300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397" w:hRule="exact"/>
          <w:tblHeader/>
          <w:jc w:val="center"/>
        </w:trPr>
        <w:tc>
          <w:tcPr>
            <w:tcW w:w="1037" w:type="dxa"/>
            <w:tcBorders>
              <w:top w:val="single" w:color="auto" w:sz="2" w:space="0"/>
              <w:left w:val="single" w:color="auto" w:sz="2" w:space="0"/>
              <w:bottom w:val="single" w:color="auto" w:sz="2" w:space="0"/>
              <w:right w:val="single" w:color="auto" w:sz="2" w:space="0"/>
            </w:tcBorders>
            <w:vAlign w:val="center"/>
          </w:tcPr>
          <w:p w14:paraId="4E555277">
            <w:pPr>
              <w:pStyle w:val="165"/>
              <w:rPr>
                <w:rFonts w:ascii="宋体"/>
                <w:szCs w:val="18"/>
              </w:rPr>
            </w:pPr>
            <w:r>
              <w:rPr>
                <w:rFonts w:hint="eastAsia" w:ascii="宋体"/>
                <w:szCs w:val="18"/>
              </w:rPr>
              <w:t>1级</w:t>
            </w:r>
          </w:p>
        </w:tc>
        <w:tc>
          <w:tcPr>
            <w:tcW w:w="1523" w:type="dxa"/>
            <w:tcBorders>
              <w:top w:val="single" w:color="auto" w:sz="2" w:space="0"/>
              <w:left w:val="single" w:color="auto" w:sz="2" w:space="0"/>
              <w:bottom w:val="single" w:color="auto" w:sz="2" w:space="0"/>
              <w:right w:val="single" w:color="auto" w:sz="2" w:space="0"/>
            </w:tcBorders>
            <w:vAlign w:val="center"/>
          </w:tcPr>
          <w:p w14:paraId="3A49745A">
            <w:pPr>
              <w:pStyle w:val="165"/>
              <w:rPr>
                <w:rFonts w:ascii="宋体"/>
                <w:szCs w:val="18"/>
              </w:rPr>
            </w:pPr>
            <w:r>
              <w:rPr>
                <w:rFonts w:hint="eastAsia" w:ascii="宋体"/>
                <w:szCs w:val="18"/>
              </w:rPr>
              <w:t>20%</w:t>
            </w:r>
          </w:p>
        </w:tc>
        <w:tc>
          <w:tcPr>
            <w:tcW w:w="5849" w:type="dxa"/>
            <w:tcBorders>
              <w:top w:val="single" w:color="auto" w:sz="2" w:space="0"/>
              <w:left w:val="single" w:color="auto" w:sz="2" w:space="0"/>
              <w:bottom w:val="single" w:color="auto" w:sz="2" w:space="0"/>
              <w:right w:val="single" w:color="auto" w:sz="2" w:space="0"/>
            </w:tcBorders>
            <w:vAlign w:val="center"/>
          </w:tcPr>
          <w:p w14:paraId="2F01615C">
            <w:pPr>
              <w:pStyle w:val="165"/>
              <w:jc w:val="left"/>
              <w:rPr>
                <w:rFonts w:ascii="宋体"/>
                <w:szCs w:val="18"/>
              </w:rPr>
            </w:pPr>
            <w:r>
              <w:rPr>
                <w:rFonts w:hint="eastAsia" w:ascii="宋体"/>
                <w:szCs w:val="18"/>
              </w:rPr>
              <w:t>难以完成或存在明显错误</w:t>
            </w:r>
          </w:p>
        </w:tc>
      </w:tr>
    </w:tbl>
    <w:p w14:paraId="3240EC2E">
      <w:pPr>
        <w:pStyle w:val="47"/>
        <w:numPr>
          <w:ilvl w:val="3"/>
          <w:numId w:val="0"/>
        </w:numPr>
        <w:rPr>
          <w:rFonts w:ascii="黑体" w:eastAsia="黑体"/>
        </w:rPr>
      </w:pPr>
      <w:r>
        <w:rPr>
          <w:rFonts w:hint="eastAsia" w:ascii="黑体" w:eastAsia="黑体"/>
        </w:rPr>
        <w:t>5.6.3　</w:t>
      </w:r>
      <w:r>
        <w:rPr>
          <w:rFonts w:ascii="Segoe UI" w:hAnsi="Segoe UI" w:eastAsia="Segoe UI" w:cs="Segoe UI"/>
          <w:b/>
          <w:bCs/>
          <w:color w:val="0F1115"/>
          <w:sz w:val="24"/>
          <w:szCs w:val="24"/>
          <w:shd w:val="clear" w:color="auto" w:fill="FFFFFF"/>
        </w:rPr>
        <w:t> </w:t>
      </w:r>
      <w:r>
        <w:rPr>
          <w:rFonts w:ascii="黑体" w:eastAsia="黑体"/>
        </w:rPr>
        <w:t>分值计算</w:t>
      </w:r>
    </w:p>
    <w:p w14:paraId="7FB16425">
      <w:pPr>
        <w:pStyle w:val="47"/>
        <w:numPr>
          <w:ilvl w:val="3"/>
          <w:numId w:val="0"/>
        </w:numPr>
        <w:ind w:firstLine="420" w:firstLineChars="200"/>
      </w:pPr>
      <w:r>
        <w:t>分值计算按以下步骤进行：</w:t>
      </w:r>
    </w:p>
    <w:p w14:paraId="535BCB90">
      <w:pPr>
        <w:pStyle w:val="47"/>
        <w:numPr>
          <w:ilvl w:val="3"/>
          <w:numId w:val="0"/>
        </w:numPr>
        <w:ind w:firstLine="420" w:firstLineChars="200"/>
      </w:pPr>
      <w:r>
        <w:t>三级指标得分</w:t>
      </w:r>
      <w:r>
        <w:rPr>
          <w:rFonts w:hint="eastAsia"/>
        </w:rPr>
        <w:t>为单个三级指标分值与得分系数的乘积；</w:t>
      </w:r>
    </w:p>
    <w:p w14:paraId="039D315A">
      <w:pPr>
        <w:pStyle w:val="47"/>
        <w:numPr>
          <w:ilvl w:val="3"/>
          <w:numId w:val="0"/>
        </w:numPr>
        <w:ind w:firstLine="420" w:firstLineChars="200"/>
      </w:pPr>
      <w:r>
        <w:t>二级指标得分为该二级指标下所有三级指标得分之和</w:t>
      </w:r>
      <w:r>
        <w:rPr>
          <w:rFonts w:hint="eastAsia"/>
        </w:rPr>
        <w:t>；</w:t>
      </w:r>
    </w:p>
    <w:p w14:paraId="407AFB99">
      <w:pPr>
        <w:pStyle w:val="47"/>
        <w:numPr>
          <w:ilvl w:val="3"/>
          <w:numId w:val="0"/>
        </w:numPr>
        <w:ind w:firstLine="420" w:firstLineChars="200"/>
      </w:pPr>
      <w:r>
        <w:rPr>
          <w:rFonts w:hint="eastAsia"/>
        </w:rPr>
        <w:t>一级指标得分</w:t>
      </w:r>
      <w:r>
        <w:t>为该</w:t>
      </w:r>
      <w:r>
        <w:rPr>
          <w:rFonts w:hint="eastAsia"/>
        </w:rPr>
        <w:t>一</w:t>
      </w:r>
      <w:r>
        <w:t>级指标下所有</w:t>
      </w:r>
      <w:r>
        <w:rPr>
          <w:rFonts w:hint="eastAsia"/>
        </w:rPr>
        <w:t>二</w:t>
      </w:r>
      <w:r>
        <w:t>级指标得分之和</w:t>
      </w:r>
      <w:r>
        <w:rPr>
          <w:rFonts w:hint="eastAsia"/>
        </w:rPr>
        <w:t>；</w:t>
      </w:r>
    </w:p>
    <w:p w14:paraId="4912F55F">
      <w:pPr>
        <w:pStyle w:val="47"/>
        <w:numPr>
          <w:ilvl w:val="3"/>
          <w:numId w:val="0"/>
        </w:numPr>
        <w:ind w:firstLine="420" w:firstLineChars="200"/>
      </w:pPr>
      <w:r>
        <w:t>综合评分</w:t>
      </w:r>
      <w:r>
        <w:rPr>
          <w:rFonts w:hint="eastAsia"/>
        </w:rPr>
        <w:t>为</w:t>
      </w:r>
      <w:r>
        <w:t>所有</w:t>
      </w:r>
      <w:r>
        <w:rPr>
          <w:rFonts w:hint="eastAsia"/>
        </w:rPr>
        <w:t>一</w:t>
      </w:r>
      <w:r>
        <w:t>级指标得分之和</w:t>
      </w:r>
      <w:r>
        <w:rPr>
          <w:rFonts w:hint="eastAsia"/>
        </w:rPr>
        <w:t>，</w:t>
      </w:r>
      <w:r>
        <w:t>满分100分。</w:t>
      </w:r>
    </w:p>
    <w:p w14:paraId="6BCCF054">
      <w:pPr>
        <w:pStyle w:val="47"/>
        <w:numPr>
          <w:ilvl w:val="3"/>
          <w:numId w:val="0"/>
        </w:numPr>
        <w:ind w:firstLine="420" w:firstLineChars="200"/>
        <w:rPr>
          <w:rFonts w:hint="eastAsia"/>
          <w:color w:val="auto"/>
          <w:lang w:val="en-US" w:eastAsia="zh-CN"/>
        </w:rPr>
      </w:pPr>
      <w:r>
        <w:rPr>
          <w:rFonts w:hint="eastAsia"/>
          <w:color w:val="auto"/>
          <w:lang w:val="en-US" w:eastAsia="zh-CN"/>
        </w:rPr>
        <w:t>示例：</w:t>
      </w:r>
    </w:p>
    <w:p w14:paraId="250D0348">
      <w:pPr>
        <w:pStyle w:val="47"/>
        <w:numPr>
          <w:ilvl w:val="3"/>
          <w:numId w:val="0"/>
        </w:numPr>
        <w:ind w:firstLine="420" w:firstLineChars="200"/>
        <w:rPr>
          <w:color w:val="auto"/>
        </w:rPr>
      </w:pPr>
      <w:r>
        <w:rPr>
          <w:rFonts w:hint="eastAsia"/>
          <w:color w:val="auto"/>
        </w:rPr>
        <w:t>某学生在“老年心理基础知识”（二级指标，满分10分，含5个三级指标，每个三级指标2分）中，5个三级指标的评分等级分别为5级、4级、4级、3级、5级，对应的得分系数分别为100%、80%、80%、60%、100%。该二级指标得分为：2×100% + 2×80% + 2×80% + 2×60% + 2×100% = 8.4分。依此类推计算指标得分，汇总得出综合评分。</w:t>
      </w:r>
    </w:p>
    <w:p w14:paraId="775C20B7">
      <w:pPr>
        <w:pStyle w:val="47"/>
        <w:numPr>
          <w:ilvl w:val="3"/>
          <w:numId w:val="0"/>
        </w:numPr>
        <w:rPr>
          <w:rFonts w:ascii="黑体" w:eastAsia="黑体"/>
        </w:rPr>
      </w:pPr>
      <w:r>
        <w:rPr>
          <w:rFonts w:hint="eastAsia" w:ascii="黑体" w:eastAsia="黑体"/>
        </w:rPr>
        <w:t>5.6.4　</w:t>
      </w:r>
      <w:r>
        <w:rPr>
          <w:rFonts w:ascii="Segoe UI" w:hAnsi="Segoe UI" w:eastAsia="Segoe UI" w:cs="Segoe UI"/>
          <w:b/>
          <w:bCs/>
          <w:color w:val="0F1115"/>
          <w:sz w:val="24"/>
          <w:szCs w:val="24"/>
          <w:shd w:val="clear" w:color="auto" w:fill="FFFFFF"/>
        </w:rPr>
        <w:t> </w:t>
      </w:r>
      <w:r>
        <w:rPr>
          <w:rFonts w:hint="eastAsia" w:ascii="黑体" w:eastAsia="黑体"/>
        </w:rPr>
        <w:t>综合评分等级划分</w:t>
      </w:r>
    </w:p>
    <w:p w14:paraId="245FF934">
      <w:pPr>
        <w:pStyle w:val="47"/>
        <w:numPr>
          <w:ilvl w:val="3"/>
          <w:numId w:val="0"/>
        </w:numPr>
        <w:ind w:firstLine="420" w:firstLineChars="200"/>
      </w:pPr>
      <w:r>
        <w:t>综合评分满分100分，</w:t>
      </w:r>
      <w:r>
        <w:rPr>
          <w:rFonts w:hint="eastAsia"/>
        </w:rPr>
        <w:t>表2中的5级评分制用于对单个三级指标的行为表现进行精细化评价，折算后的综合评分再按以下标准划分最终评价等级</w:t>
      </w:r>
      <w:r>
        <w:t>：</w:t>
      </w:r>
    </w:p>
    <w:p w14:paraId="10E808F3">
      <w:pPr>
        <w:pStyle w:val="47"/>
        <w:numPr>
          <w:ilvl w:val="3"/>
          <w:numId w:val="0"/>
        </w:numPr>
        <w:ind w:firstLine="420" w:firstLineChars="200"/>
      </w:pPr>
      <w:r>
        <w:rPr>
          <w:rFonts w:hint="eastAsia"/>
          <w:lang w:eastAsia="zh-CN"/>
        </w:rPr>
        <w:t>——</w:t>
      </w:r>
      <w:r>
        <w:t>优秀：90分及以上；</w:t>
      </w:r>
    </w:p>
    <w:p w14:paraId="30AC0993">
      <w:pPr>
        <w:pStyle w:val="47"/>
        <w:numPr>
          <w:ilvl w:val="3"/>
          <w:numId w:val="0"/>
        </w:numPr>
        <w:ind w:firstLine="420" w:firstLineChars="200"/>
      </w:pPr>
      <w:r>
        <w:rPr>
          <w:rFonts w:hint="eastAsia"/>
          <w:lang w:eastAsia="zh-CN"/>
        </w:rPr>
        <w:t>——</w:t>
      </w:r>
      <w:r>
        <w:t>良好：80分～89分；</w:t>
      </w:r>
    </w:p>
    <w:p w14:paraId="52F82830">
      <w:pPr>
        <w:pStyle w:val="47"/>
        <w:numPr>
          <w:ilvl w:val="3"/>
          <w:numId w:val="0"/>
        </w:numPr>
        <w:ind w:firstLine="420" w:firstLineChars="200"/>
      </w:pPr>
      <w:r>
        <w:rPr>
          <w:rFonts w:hint="eastAsia"/>
          <w:lang w:eastAsia="zh-CN"/>
        </w:rPr>
        <w:t>——</w:t>
      </w:r>
      <w:r>
        <w:t>合格：60分～79分；</w:t>
      </w:r>
    </w:p>
    <w:p w14:paraId="152AA6D6">
      <w:pPr>
        <w:pStyle w:val="47"/>
        <w:numPr>
          <w:ilvl w:val="3"/>
          <w:numId w:val="0"/>
        </w:numPr>
        <w:ind w:firstLine="420" w:firstLineChars="200"/>
      </w:pPr>
      <w:r>
        <w:rPr>
          <w:rFonts w:hint="eastAsia"/>
          <w:lang w:eastAsia="zh-CN"/>
        </w:rPr>
        <w:t>——</w:t>
      </w:r>
      <w:r>
        <w:t>不合格：60分以下。</w:t>
      </w:r>
    </w:p>
    <w:p w14:paraId="204F1AB7">
      <w:pPr>
        <w:pStyle w:val="50"/>
        <w:numPr>
          <w:ilvl w:val="1"/>
          <w:numId w:val="0"/>
        </w:numPr>
        <w:spacing w:before="312" w:after="312"/>
      </w:pPr>
      <w:bookmarkStart w:id="48" w:name="_Toc239088368"/>
      <w:bookmarkStart w:id="49" w:name="_Toc26798"/>
      <w:r>
        <w:rPr>
          <w:rFonts w:hint="eastAsia"/>
        </w:rPr>
        <w:t>6　评价实施</w:t>
      </w:r>
      <w:bookmarkEnd w:id="48"/>
      <w:bookmarkEnd w:id="49"/>
    </w:p>
    <w:p w14:paraId="15C09016">
      <w:pPr>
        <w:pStyle w:val="51"/>
        <w:numPr>
          <w:ilvl w:val="2"/>
          <w:numId w:val="0"/>
        </w:numPr>
        <w:spacing w:before="156" w:after="156"/>
        <w:rPr>
          <w:color w:val="000000"/>
          <w14:scene3d>
            <w14:lightRig w14:rig="threePt" w14:dir="t">
              <w14:rot w14:lat="0" w14:lon="0" w14:rev="0"/>
            </w14:lightRig>
          </w14:scene3d>
        </w:rPr>
      </w:pPr>
      <w:bookmarkStart w:id="50" w:name="_Toc12831"/>
      <w:bookmarkStart w:id="51" w:name="_Toc239088369"/>
      <w:r>
        <w:rPr>
          <w:rFonts w:hint="eastAsia"/>
          <w:color w:val="000000"/>
          <w14:scene3d>
            <w14:lightRig w14:rig="threePt" w14:dir="t">
              <w14:rot w14:lat="0" w14:lon="0" w14:rev="0"/>
            </w14:lightRig>
          </w14:scene3d>
        </w:rPr>
        <w:t>6.1　评价主体</w:t>
      </w:r>
      <w:bookmarkEnd w:id="50"/>
    </w:p>
    <w:p w14:paraId="176458E9">
      <w:pPr>
        <w:pStyle w:val="47"/>
        <w:numPr>
          <w:ilvl w:val="3"/>
          <w:numId w:val="0"/>
        </w:numPr>
      </w:pPr>
      <w:r>
        <w:rPr>
          <w:rFonts w:hint="eastAsia" w:ascii="黑体" w:eastAsia="黑体"/>
        </w:rPr>
        <w:t>6.</w:t>
      </w:r>
      <w:r>
        <w:rPr>
          <w:rFonts w:hint="eastAsia" w:ascii="黑体" w:eastAsia="黑体"/>
          <w:lang w:val="en-US" w:eastAsia="zh-CN"/>
        </w:rPr>
        <w:t>1</w:t>
      </w:r>
      <w:r>
        <w:rPr>
          <w:rFonts w:hint="eastAsia" w:ascii="黑体" w:eastAsia="黑体"/>
        </w:rPr>
        <w:t>.1　</w:t>
      </w:r>
      <w:r>
        <w:t>评价主体包括：专业教师</w:t>
      </w:r>
      <w:r>
        <w:rPr>
          <w:rFonts w:hint="eastAsia"/>
        </w:rPr>
        <w:t>、</w:t>
      </w:r>
      <w:r>
        <w:t>临床/行业导师</w:t>
      </w:r>
      <w:r>
        <w:rPr>
          <w:rFonts w:hint="eastAsia"/>
        </w:rPr>
        <w:t>、</w:t>
      </w:r>
      <w:r>
        <w:t>服务对象及其家属</w:t>
      </w:r>
      <w:r>
        <w:rPr>
          <w:rFonts w:hint="eastAsia"/>
        </w:rPr>
        <w:t>；</w:t>
      </w:r>
    </w:p>
    <w:p w14:paraId="7FB3AFF8">
      <w:pPr>
        <w:pStyle w:val="47"/>
        <w:numPr>
          <w:ilvl w:val="3"/>
          <w:numId w:val="0"/>
        </w:numPr>
      </w:pPr>
      <w:r>
        <w:rPr>
          <w:rFonts w:hint="eastAsia" w:ascii="黑体" w:eastAsia="黑体"/>
        </w:rPr>
        <w:t>6.</w:t>
      </w:r>
      <w:r>
        <w:rPr>
          <w:rFonts w:hint="eastAsia" w:ascii="黑体" w:eastAsia="黑体"/>
          <w:lang w:val="en-US" w:eastAsia="zh-CN"/>
        </w:rPr>
        <w:t>1</w:t>
      </w:r>
      <w:r>
        <w:rPr>
          <w:rFonts w:hint="eastAsia" w:ascii="黑体" w:eastAsia="黑体"/>
        </w:rPr>
        <w:t>.2　</w:t>
      </w:r>
      <w:r>
        <w:rPr>
          <w:rFonts w:ascii="Times New Roman"/>
        </w:rPr>
        <w:t>评价主体经过统一培训，熟悉评价指标和评价标准，掌握评价工具的使用方法。</w:t>
      </w:r>
    </w:p>
    <w:p w14:paraId="2B72A851">
      <w:pPr>
        <w:pStyle w:val="51"/>
        <w:numPr>
          <w:ilvl w:val="2"/>
          <w:numId w:val="0"/>
        </w:numPr>
        <w:spacing w:before="156" w:after="156"/>
      </w:pPr>
      <w:bookmarkStart w:id="52" w:name="_Toc15551"/>
      <w:r>
        <w:rPr>
          <w:rFonts w:hint="eastAsia"/>
          <w:color w:val="000000"/>
          <w14:scene3d>
            <w14:lightRig w14:rig="threePt" w14:dir="t">
              <w14:rot w14:lat="0" w14:lon="0" w14:rev="0"/>
            </w14:lightRig>
          </w14:scene3d>
        </w:rPr>
        <w:t>6.2　</w:t>
      </w:r>
      <w:r>
        <w:rPr>
          <w:rFonts w:hint="eastAsia"/>
        </w:rPr>
        <w:t>评价方式</w:t>
      </w:r>
      <w:bookmarkEnd w:id="51"/>
      <w:bookmarkEnd w:id="52"/>
    </w:p>
    <w:p w14:paraId="68B00291">
      <w:pPr>
        <w:pStyle w:val="47"/>
        <w:numPr>
          <w:ilvl w:val="3"/>
          <w:numId w:val="0"/>
        </w:numPr>
      </w:pPr>
      <w:r>
        <w:rPr>
          <w:rFonts w:hint="eastAsia" w:ascii="黑体" w:eastAsia="黑体"/>
        </w:rPr>
        <w:t>6.2.1　</w:t>
      </w:r>
      <w:r>
        <w:rPr>
          <w:rFonts w:hint="eastAsia"/>
        </w:rPr>
        <w:t>评价宜采用理论知识评价与技能操作评价相结合的方式，考核要点依据评价指标体系确定；</w:t>
      </w:r>
    </w:p>
    <w:p w14:paraId="435F5808">
      <w:pPr>
        <w:pStyle w:val="47"/>
        <w:numPr>
          <w:ilvl w:val="3"/>
          <w:numId w:val="0"/>
        </w:numPr>
      </w:pPr>
      <w:r>
        <w:rPr>
          <w:rFonts w:hint="eastAsia" w:ascii="黑体" w:eastAsia="黑体"/>
        </w:rPr>
        <w:t xml:space="preserve">6.2.2  </w:t>
      </w:r>
      <w:r>
        <w:rPr>
          <w:rFonts w:hint="eastAsia"/>
        </w:rPr>
        <w:t>理论知识评价宜采用笔试、在线测试等方式；</w:t>
      </w:r>
    </w:p>
    <w:p w14:paraId="3BC0FF33">
      <w:pPr>
        <w:pStyle w:val="47"/>
        <w:numPr>
          <w:ilvl w:val="3"/>
          <w:numId w:val="0"/>
        </w:numPr>
      </w:pPr>
      <w:r>
        <w:rPr>
          <w:rFonts w:hint="eastAsia" w:ascii="黑体" w:eastAsia="黑体"/>
        </w:rPr>
        <w:t>6.2.</w:t>
      </w:r>
      <w:r>
        <w:rPr>
          <w:rFonts w:hint="eastAsia" w:ascii="黑体" w:eastAsia="黑体"/>
          <w:lang w:val="en-US" w:eastAsia="zh-CN"/>
        </w:rPr>
        <w:t>3</w:t>
      </w:r>
      <w:r>
        <w:rPr>
          <w:rFonts w:hint="eastAsia" w:ascii="黑体" w:eastAsia="黑体"/>
        </w:rPr>
        <w:t>　</w:t>
      </w:r>
      <w:r>
        <w:rPr>
          <w:rFonts w:hint="eastAsia"/>
        </w:rPr>
        <w:t>技能操作评价宜采用情境模拟及角色扮演等方式。</w:t>
      </w:r>
    </w:p>
    <w:p w14:paraId="760B2EA0">
      <w:pPr>
        <w:pStyle w:val="51"/>
        <w:numPr>
          <w:ilvl w:val="2"/>
          <w:numId w:val="0"/>
        </w:numPr>
        <w:spacing w:before="156" w:after="156"/>
      </w:pPr>
      <w:bookmarkStart w:id="53" w:name="_Toc12282"/>
      <w:bookmarkStart w:id="54" w:name="_Toc239088370"/>
      <w:r>
        <w:rPr>
          <w:rFonts w:hint="eastAsia"/>
          <w:color w:val="000000"/>
          <w14:scene3d>
            <w14:lightRig w14:rig="threePt" w14:dir="t">
              <w14:rot w14:lat="0" w14:lon="0" w14:rev="0"/>
            </w14:lightRig>
          </w14:scene3d>
        </w:rPr>
        <w:t>6.3　</w:t>
      </w:r>
      <w:r>
        <w:rPr>
          <w:rFonts w:hint="eastAsia"/>
        </w:rPr>
        <w:t>评价工具</w:t>
      </w:r>
      <w:bookmarkEnd w:id="53"/>
      <w:bookmarkEnd w:id="54"/>
    </w:p>
    <w:p w14:paraId="2608ADEE">
      <w:pPr>
        <w:pStyle w:val="47"/>
        <w:numPr>
          <w:ilvl w:val="3"/>
          <w:numId w:val="0"/>
        </w:numPr>
      </w:pPr>
      <w:bookmarkStart w:id="55" w:name="_Toc239088371"/>
      <w:r>
        <w:rPr>
          <w:rFonts w:hint="eastAsia" w:ascii="黑体" w:eastAsia="黑体"/>
        </w:rPr>
        <w:t>6.3.1　</w:t>
      </w:r>
      <w:r>
        <w:rPr>
          <w:rFonts w:hint="eastAsia"/>
        </w:rPr>
        <w:t>理论知识：考核要点依据评价指标体系确定，试题数量及分值按表1中各指标的分值比例分配；</w:t>
      </w:r>
    </w:p>
    <w:p w14:paraId="36055C67">
      <w:pPr>
        <w:pStyle w:val="49"/>
        <w:ind w:firstLine="0" w:firstLineChars="0"/>
        <w:rPr>
          <w:rFonts w:hint="default" w:ascii="宋体" w:eastAsia="宋体"/>
          <w:lang w:val="en-US" w:eastAsia="zh-CN"/>
        </w:rPr>
      </w:pPr>
      <w:r>
        <w:rPr>
          <w:rFonts w:hint="eastAsia" w:ascii="黑体" w:eastAsia="黑体"/>
        </w:rPr>
        <w:t xml:space="preserve">6.3.2 </w:t>
      </w:r>
      <w:r>
        <w:rPr>
          <w:rFonts w:hint="eastAsia" w:ascii="宋体"/>
        </w:rPr>
        <w:t xml:space="preserve"> 技能操作评价：按5.6规定的评分方法，逐项对评价指标体系中的三级指标进行评分。</w:t>
      </w:r>
      <w:r>
        <w:rPr>
          <w:rFonts w:hint="eastAsia" w:ascii="宋体"/>
          <w:lang w:val="en-US" w:eastAsia="zh-CN"/>
        </w:rPr>
        <w:t>见附录A。</w:t>
      </w:r>
    </w:p>
    <w:p w14:paraId="3CE503D9">
      <w:pPr>
        <w:numPr>
          <w:ilvl w:val="2"/>
          <w:numId w:val="0"/>
        </w:numPr>
        <w:spacing w:before="156" w:beforeLines="50" w:after="156" w:afterLines="50"/>
        <w:ind w:left="0" w:leftChars="0" w:firstLine="0" w:firstLineChars="0"/>
        <w:jc w:val="both"/>
        <w:outlineLvl w:val="1"/>
        <w:rPr>
          <w:rFonts w:hint="eastAsia" w:ascii="黑体" w:hAnsi="Times New Roman" w:eastAsia="黑体" w:cs="Times New Roman"/>
          <w:sz w:val="21"/>
          <w:lang w:val="en-US" w:eastAsia="zh-CN" w:bidi="ar-SA"/>
        </w:rPr>
      </w:pPr>
      <w:bookmarkStart w:id="56" w:name="_Toc1317"/>
      <w:r>
        <w:rPr>
          <w:rFonts w:hint="default" w:ascii="黑体" w:hAnsi="Times New Roman" w:eastAsia="黑体" w:cs="Times New Roman"/>
          <w:color w:val="000000"/>
          <w:sz w:val="21"/>
          <w:lang w:val="en-US" w:eastAsia="zh-CN" w:bidi="ar-SA"/>
          <w14:scene3d>
            <w14:lightRig w14:rig="threePt" w14:dir="t">
              <w14:rot w14:lat="0" w14:lon="0" w14:rev="0"/>
            </w14:lightRig>
          </w14:scene3d>
        </w:rPr>
        <w:t>6.4 评价伦理与信息保护</w:t>
      </w:r>
      <w:bookmarkEnd w:id="56"/>
    </w:p>
    <w:p w14:paraId="53558FEB">
      <w:pPr>
        <w:widowControl w:val="0"/>
        <w:numPr>
          <w:ilvl w:val="3"/>
          <w:numId w:val="0"/>
        </w:numPr>
        <w:spacing w:before="0" w:beforeLines="0" w:after="0" w:afterLines="0"/>
        <w:ind w:left="0" w:leftChars="0" w:firstLine="0" w:firstLineChars="0"/>
        <w:jc w:val="both"/>
        <w:outlineLvl w:val="9"/>
        <w:rPr>
          <w:rFonts w:hint="default" w:ascii="宋体" w:hAnsi="Times New Roman" w:eastAsia="宋体" w:cs="Times New Roman"/>
          <w:sz w:val="21"/>
          <w:lang w:val="en-US" w:eastAsia="zh-CN" w:bidi="ar-SA"/>
        </w:rPr>
      </w:pPr>
      <w:r>
        <w:rPr>
          <w:rFonts w:hint="eastAsia" w:ascii="黑体" w:eastAsia="黑体"/>
        </w:rPr>
        <w:t>6.</w:t>
      </w:r>
      <w:r>
        <w:rPr>
          <w:rFonts w:hint="eastAsia" w:ascii="黑体" w:eastAsia="黑体"/>
          <w:lang w:val="en-US" w:eastAsia="zh-CN"/>
        </w:rPr>
        <w:t>4</w:t>
      </w:r>
      <w:r>
        <w:rPr>
          <w:rFonts w:hint="eastAsia" w:ascii="黑体" w:eastAsia="黑体"/>
        </w:rPr>
        <w:t>.1</w:t>
      </w:r>
      <w:r>
        <w:rPr>
          <w:rFonts w:hint="eastAsia" w:ascii="黑体" w:eastAsia="黑体"/>
          <w:lang w:val="en-US" w:eastAsia="zh-CN"/>
        </w:rPr>
        <w:t xml:space="preserve">  </w:t>
      </w:r>
      <w:r>
        <w:rPr>
          <w:rFonts w:hint="default" w:ascii="宋体" w:hAnsi="Times New Roman" w:eastAsia="宋体" w:cs="Times New Roman"/>
          <w:sz w:val="21"/>
          <w:lang w:val="en-US" w:eastAsia="zh-CN" w:bidi="ar-SA"/>
        </w:rPr>
        <w:t>评价实施前，宜向评价对象及相关参与方说明评价目的和结果用途，并取得其知情同意；涉及认知障碍老年人等群体时，宜取得其法定代理人或监护人的同意。</w:t>
      </w:r>
    </w:p>
    <w:p w14:paraId="240D1E9A">
      <w:pPr>
        <w:widowControl w:val="0"/>
        <w:numPr>
          <w:ilvl w:val="3"/>
          <w:numId w:val="0"/>
        </w:numPr>
        <w:spacing w:before="0" w:beforeLines="0" w:after="0" w:afterLines="0"/>
        <w:ind w:left="0" w:leftChars="0" w:firstLine="0" w:firstLineChars="0"/>
        <w:jc w:val="both"/>
        <w:outlineLvl w:val="9"/>
        <w:rPr>
          <w:rFonts w:hint="default" w:ascii="宋体" w:hAnsi="Times New Roman" w:eastAsia="宋体" w:cs="Times New Roman"/>
          <w:sz w:val="21"/>
          <w:lang w:val="en-US" w:eastAsia="zh-CN" w:bidi="ar-SA"/>
        </w:rPr>
      </w:pPr>
      <w:r>
        <w:rPr>
          <w:rFonts w:hint="eastAsia" w:ascii="黑体" w:eastAsia="黑体"/>
        </w:rPr>
        <w:t>6.</w:t>
      </w:r>
      <w:r>
        <w:rPr>
          <w:rFonts w:hint="eastAsia" w:ascii="黑体" w:eastAsia="黑体"/>
          <w:lang w:val="en-US" w:eastAsia="zh-CN"/>
        </w:rPr>
        <w:t>4</w:t>
      </w:r>
      <w:r>
        <w:rPr>
          <w:rFonts w:hint="eastAsia" w:ascii="黑体" w:eastAsia="黑体"/>
        </w:rPr>
        <w:t>.</w:t>
      </w:r>
      <w:r>
        <w:rPr>
          <w:rFonts w:hint="eastAsia" w:ascii="黑体" w:eastAsia="黑体"/>
          <w:lang w:val="en-US" w:eastAsia="zh-CN"/>
        </w:rPr>
        <w:t xml:space="preserve">2  </w:t>
      </w:r>
      <w:r>
        <w:rPr>
          <w:rFonts w:hint="default" w:ascii="宋体" w:hAnsi="Times New Roman" w:eastAsia="宋体" w:cs="Times New Roman"/>
          <w:sz w:val="21"/>
          <w:lang w:val="en-US" w:eastAsia="zh-CN" w:bidi="ar-SA"/>
        </w:rPr>
        <w:t>评价数据的收集宜遵循最小必要原则，进行脱敏处理；评价结果的记录、存储和使用宜符合国家有关个人信息保护与数据安全的法律法规要求。</w:t>
      </w:r>
    </w:p>
    <w:p w14:paraId="70F9ED6D">
      <w:pPr>
        <w:widowControl w:val="0"/>
        <w:numPr>
          <w:ilvl w:val="3"/>
          <w:numId w:val="0"/>
        </w:numPr>
        <w:spacing w:before="0" w:beforeLines="0" w:after="0" w:afterLines="0"/>
        <w:ind w:left="0" w:leftChars="0" w:firstLine="0" w:firstLineChars="0"/>
        <w:jc w:val="both"/>
        <w:outlineLvl w:val="9"/>
        <w:rPr>
          <w:rFonts w:hint="eastAsia" w:ascii="宋体"/>
        </w:rPr>
      </w:pPr>
      <w:r>
        <w:rPr>
          <w:rFonts w:hint="eastAsia" w:ascii="黑体" w:eastAsia="黑体"/>
        </w:rPr>
        <w:t>6.</w:t>
      </w:r>
      <w:r>
        <w:rPr>
          <w:rFonts w:hint="eastAsia" w:ascii="黑体" w:eastAsia="黑体"/>
          <w:lang w:val="en-US" w:eastAsia="zh-CN"/>
        </w:rPr>
        <w:t>4</w:t>
      </w:r>
      <w:r>
        <w:rPr>
          <w:rFonts w:hint="eastAsia" w:ascii="黑体" w:eastAsia="黑体"/>
        </w:rPr>
        <w:t>.</w:t>
      </w:r>
      <w:r>
        <w:rPr>
          <w:rFonts w:hint="eastAsia" w:ascii="黑体" w:eastAsia="黑体"/>
          <w:lang w:val="en-US" w:eastAsia="zh-CN"/>
        </w:rPr>
        <w:t>3</w:t>
      </w:r>
      <w:r>
        <w:rPr>
          <w:rFonts w:hint="eastAsia" w:ascii="黑体" w:eastAsia="黑体"/>
        </w:rPr>
        <w:t>　</w:t>
      </w:r>
      <w:r>
        <w:rPr>
          <w:rFonts w:hint="default" w:ascii="宋体" w:hAnsi="Times New Roman" w:eastAsia="宋体" w:cs="Times New Roman"/>
          <w:sz w:val="21"/>
          <w:lang w:val="en-US" w:eastAsia="zh-CN" w:bidi="ar-SA"/>
        </w:rPr>
        <w:t> 涉及心理危机、临终、哀伤等敏感主题的情境模拟或角色扮演，宜进行伦理风险评估，必要时提交伦理审查，并在评价前后为参与学生提供心理准备说明和心理督导支持。</w:t>
      </w:r>
    </w:p>
    <w:p w14:paraId="06B6A633">
      <w:pPr>
        <w:pStyle w:val="50"/>
        <w:numPr>
          <w:ilvl w:val="1"/>
          <w:numId w:val="0"/>
        </w:numPr>
        <w:spacing w:before="312" w:after="312"/>
      </w:pPr>
      <w:bookmarkStart w:id="57" w:name="_Toc128"/>
      <w:r>
        <w:rPr>
          <w:rFonts w:hint="eastAsia"/>
        </w:rPr>
        <w:t>7　评价结果应用与动态管理</w:t>
      </w:r>
      <w:bookmarkEnd w:id="55"/>
      <w:bookmarkEnd w:id="57"/>
    </w:p>
    <w:p w14:paraId="2812B0A5">
      <w:pPr>
        <w:pStyle w:val="50"/>
        <w:numPr>
          <w:ilvl w:val="0"/>
          <w:numId w:val="0"/>
        </w:numPr>
        <w:spacing w:before="312" w:after="312"/>
      </w:pPr>
      <w:bookmarkStart w:id="58" w:name="_Toc239088372"/>
      <w:bookmarkStart w:id="59" w:name="_Toc18308"/>
      <w:r>
        <w:rPr>
          <w:rFonts w:hint="eastAsia"/>
        </w:rPr>
        <w:t>7.1 评价结果的应用</w:t>
      </w:r>
      <w:bookmarkEnd w:id="58"/>
      <w:bookmarkEnd w:id="59"/>
    </w:p>
    <w:p w14:paraId="700F73AB">
      <w:pPr>
        <w:pStyle w:val="47"/>
        <w:numPr>
          <w:ilvl w:val="3"/>
          <w:numId w:val="0"/>
        </w:numPr>
      </w:pPr>
      <w:r>
        <w:rPr>
          <w:rFonts w:hint="eastAsia" w:ascii="黑体" w:eastAsia="黑体"/>
        </w:rPr>
        <w:t>7.1.1　</w:t>
      </w:r>
      <w:r>
        <w:rPr>
          <w:rFonts w:hint="eastAsia"/>
        </w:rPr>
        <w:t>定期分析评价数据，识别学生心理照护能力的共性短板，为课程设置、教学内容和实践环节的优化提供依据；</w:t>
      </w:r>
    </w:p>
    <w:p w14:paraId="1BD55D23">
      <w:pPr>
        <w:pStyle w:val="47"/>
        <w:numPr>
          <w:ilvl w:val="3"/>
          <w:numId w:val="0"/>
        </w:numPr>
      </w:pPr>
      <w:r>
        <w:rPr>
          <w:rFonts w:hint="eastAsia" w:ascii="黑体" w:eastAsia="黑体"/>
        </w:rPr>
        <w:t>7.1.2　</w:t>
      </w:r>
      <w:r>
        <w:rPr>
          <w:rFonts w:hint="eastAsia"/>
        </w:rPr>
        <w:t>评价结果记入学生能力发展档案，作为顶岗实习安排、毕业资格认定的参考依据；</w:t>
      </w:r>
    </w:p>
    <w:p w14:paraId="6362BE7C">
      <w:pPr>
        <w:pStyle w:val="47"/>
        <w:numPr>
          <w:ilvl w:val="3"/>
          <w:numId w:val="0"/>
        </w:numPr>
      </w:pPr>
      <w:r>
        <w:rPr>
          <w:rFonts w:hint="eastAsia" w:ascii="黑体" w:eastAsia="黑体"/>
        </w:rPr>
        <w:t>7.1.3　</w:t>
      </w:r>
      <w:r>
        <w:rPr>
          <w:rFonts w:hint="eastAsia"/>
        </w:rPr>
        <w:t>用人单位可参照本文件的评价指标体系，开展在职人员的心理照护能力评估和分级管理。</w:t>
      </w:r>
    </w:p>
    <w:p w14:paraId="5E3292C8">
      <w:pPr>
        <w:pStyle w:val="51"/>
        <w:numPr>
          <w:ilvl w:val="2"/>
          <w:numId w:val="0"/>
        </w:numPr>
        <w:spacing w:before="156" w:after="156"/>
      </w:pPr>
      <w:bookmarkStart w:id="60" w:name="_Toc2606"/>
      <w:bookmarkStart w:id="61" w:name="_Toc239088373"/>
      <w:r>
        <w:rPr>
          <w:rFonts w:hint="eastAsia"/>
          <w:color w:val="000000"/>
          <w14:scene3d>
            <w14:lightRig w14:rig="threePt" w14:dir="t">
              <w14:rot w14:lat="0" w14:lon="0" w14:rev="0"/>
            </w14:lightRig>
          </w14:scene3d>
        </w:rPr>
        <w:t>7.2　</w:t>
      </w:r>
      <w:r>
        <w:rPr>
          <w:rFonts w:hint="eastAsia"/>
        </w:rPr>
        <w:t>动态管理机制</w:t>
      </w:r>
      <w:bookmarkEnd w:id="60"/>
      <w:bookmarkEnd w:id="61"/>
    </w:p>
    <w:p w14:paraId="5535E689">
      <w:pPr>
        <w:pStyle w:val="47"/>
        <w:numPr>
          <w:ilvl w:val="3"/>
          <w:numId w:val="0"/>
        </w:numPr>
      </w:pPr>
      <w:r>
        <w:rPr>
          <w:rFonts w:hint="eastAsia" w:ascii="黑体" w:eastAsia="黑体"/>
        </w:rPr>
        <w:t>7.2.1　</w:t>
      </w:r>
      <w:r>
        <w:rPr>
          <w:rFonts w:hint="eastAsia"/>
        </w:rPr>
        <w:t>建立由教育专家、行业专家、一线工作者等多元主体参与的动态管理机制；</w:t>
      </w:r>
    </w:p>
    <w:p w14:paraId="0FD9F47B">
      <w:pPr>
        <w:pStyle w:val="47"/>
        <w:numPr>
          <w:ilvl w:val="3"/>
          <w:numId w:val="0"/>
        </w:numPr>
      </w:pPr>
      <w:r>
        <w:rPr>
          <w:rFonts w:hint="eastAsia" w:ascii="黑体" w:eastAsia="黑体"/>
        </w:rPr>
        <w:t>7.2.2　</w:t>
      </w:r>
      <w:r>
        <w:rPr>
          <w:rFonts w:hint="eastAsia"/>
        </w:rPr>
        <w:t>根据行业发展趋势、岗位需求变化、政策法规更新和评价实践反馈，及时修订评价指标和</w:t>
      </w:r>
      <w:r>
        <w:rPr>
          <w:rFonts w:hint="eastAsia"/>
          <w:lang w:val="en-US" w:eastAsia="zh-CN"/>
        </w:rPr>
        <w:t>评分</w:t>
      </w:r>
      <w:r>
        <w:rPr>
          <w:rFonts w:hint="eastAsia"/>
        </w:rPr>
        <w:t>标准；</w:t>
      </w:r>
    </w:p>
    <w:p w14:paraId="3784DCF0">
      <w:pPr>
        <w:pStyle w:val="47"/>
        <w:numPr>
          <w:ilvl w:val="3"/>
          <w:numId w:val="0"/>
        </w:numPr>
        <w:rPr>
          <w:rFonts w:hint="eastAsia"/>
        </w:rPr>
      </w:pPr>
      <w:r>
        <w:rPr>
          <w:rFonts w:hint="eastAsia" w:ascii="黑体" w:eastAsia="黑体"/>
        </w:rPr>
        <w:t>7.2.3　</w:t>
      </w:r>
      <w:r>
        <w:rPr>
          <w:rFonts w:hint="eastAsia"/>
        </w:rPr>
        <w:t>鼓励学生参与评价体系的完善过程，</w:t>
      </w:r>
      <w:r>
        <w:rPr>
          <w:rFonts w:hint="eastAsia"/>
          <w:lang w:val="en-US" w:eastAsia="zh-CN"/>
        </w:rPr>
        <w:t>采纳</w:t>
      </w:r>
      <w:r>
        <w:rPr>
          <w:rFonts w:hint="eastAsia"/>
        </w:rPr>
        <w:t>学生对评价方式、评价工具和评价流程的合理建议。</w:t>
      </w:r>
    </w:p>
    <w:p w14:paraId="20DB3452">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62" w:name="_Toc7305"/>
    </w:p>
    <w:p w14:paraId="2001B2DD">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1D53F8C1">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148B9D38">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07FBB873">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66414760">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2391061E">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40359F00">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1AAE31C2">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646C54B2">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0A6B5A9E">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01109660">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7B4C71AD">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18CA4C95">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6D9CA6D4">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4923E036">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215227D5">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760D6D3B">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08A81C70">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2BF005F4">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5C2114A2">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609F9859">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7757ECD0">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0596770C">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225BCF66">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549E5810">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35DD6925">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5570F1CB">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3C885DC0">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57D18AF4">
      <w:pPr>
        <w:pStyle w:val="106"/>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75EC8731">
      <w:pPr>
        <w:pStyle w:val="168"/>
        <w:numPr>
          <w:ilvl w:val="0"/>
          <w:numId w:val="0"/>
        </w:numPr>
        <w:bidi w:val="0"/>
        <w:ind w:leftChars="0"/>
        <w:jc w:val="center"/>
        <w:rPr>
          <w:rFonts w:hint="eastAsia"/>
        </w:rPr>
      </w:pPr>
      <w:bookmarkStart w:id="63" w:name="_Toc29252"/>
      <w:r>
        <w:rPr>
          <w:rFonts w:hint="eastAsia"/>
          <w:lang w:val="en-US" w:eastAsia="zh-CN"/>
        </w:rPr>
        <w:t>附  录  A</w:t>
      </w:r>
      <w:r>
        <w:br w:type="textWrapping"/>
      </w:r>
      <w:r>
        <w:rPr>
          <w:rFonts w:hint="eastAsia"/>
        </w:rPr>
        <w:t>（资料性）</w:t>
      </w:r>
      <w:bookmarkEnd w:id="63"/>
    </w:p>
    <w:p w14:paraId="73AC970C">
      <w:pPr>
        <w:pStyle w:val="106"/>
        <w:bidi w:val="0"/>
        <w:rPr>
          <w:rFonts w:hint="eastAsia"/>
          <w:lang w:val="en-US" w:eastAsia="zh-CN"/>
        </w:rPr>
      </w:pPr>
      <w:r>
        <w:rPr>
          <w:rStyle w:val="167"/>
          <w:rFonts w:hint="eastAsia"/>
          <w:lang w:val="en-US" w:eastAsia="zh-CN"/>
        </w:rPr>
        <w:t>心理照护胜任力评分表</w:t>
      </w:r>
    </w:p>
    <w:p w14:paraId="365BFBC8">
      <w:pPr>
        <w:pStyle w:val="71"/>
        <w:pBdr>
          <w:top w:val="none" w:color="auto" w:sz="0" w:space="0"/>
          <w:left w:val="none" w:color="auto" w:sz="0" w:space="0"/>
          <w:bottom w:val="none" w:color="auto" w:sz="0" w:space="0"/>
          <w:right w:val="none" w:color="auto" w:sz="0" w:space="0"/>
        </w:pBdr>
        <w:spacing w:before="312" w:after="312"/>
      </w:pPr>
      <w:bookmarkStart w:id="64" w:name="_Toc1077"/>
      <w:r>
        <w:rPr>
          <w:rFonts w:hint="eastAsia"/>
          <w:lang w:val="en-US" w:eastAsia="zh-CN"/>
        </w:rPr>
        <w:t>使用说明</w:t>
      </w:r>
      <w:bookmarkEnd w:id="64"/>
    </w:p>
    <w:p w14:paraId="3B4CEE5C">
      <w:pPr>
        <w:pStyle w:val="25"/>
        <w:bidi w:val="0"/>
      </w:pPr>
      <w:r>
        <w:t>本附录给出了心理照护胜任力评价的参考</w:t>
      </w:r>
      <w:r>
        <w:rPr>
          <w:rFonts w:hint="eastAsia"/>
          <w:lang w:val="en-US" w:eastAsia="zh-CN"/>
        </w:rPr>
        <w:t>评分</w:t>
      </w:r>
      <w:r>
        <w:t>表。评价实施时，可按表A.1至表A.4对每个三级指标（评价要点）进行评分。评分等级按表2确定得分系数，三级指标得分为该指标分值与得分系数的乘积。二级指标得分为其下所有三级指标得分之和；一级指标得分为其下所有二级指标得分之和；综合评分为所有一级指标得分之和，满分100分。</w:t>
      </w:r>
    </w:p>
    <w:p w14:paraId="52400168">
      <w:pPr>
        <w:pStyle w:val="71"/>
        <w:pBdr>
          <w:top w:val="none" w:color="auto" w:sz="0" w:space="0"/>
          <w:left w:val="none" w:color="auto" w:sz="0" w:space="0"/>
          <w:bottom w:val="none" w:color="auto" w:sz="0" w:space="0"/>
          <w:right w:val="none" w:color="auto" w:sz="0" w:space="0"/>
        </w:pBdr>
        <w:spacing w:before="312" w:after="312"/>
      </w:pPr>
      <w:bookmarkStart w:id="65" w:name="_Toc8308"/>
      <w:r>
        <w:rPr>
          <w:rFonts w:hint="eastAsia"/>
          <w:lang w:val="en-US" w:eastAsia="zh-CN"/>
        </w:rPr>
        <w:t>基础能力维度</w:t>
      </w:r>
      <w:bookmarkEnd w:id="65"/>
    </w:p>
    <w:p w14:paraId="113409D4">
      <w:pPr>
        <w:pStyle w:val="108"/>
        <w:pBdr>
          <w:top w:val="none" w:color="auto" w:sz="0" w:space="0"/>
          <w:left w:val="none" w:color="auto" w:sz="0" w:space="0"/>
          <w:bottom w:val="none" w:color="auto" w:sz="0" w:space="0"/>
          <w:right w:val="none" w:color="auto" w:sz="0" w:space="0"/>
        </w:pBdr>
        <w:spacing w:before="156" w:after="156"/>
      </w:pPr>
      <w:r>
        <w:rPr>
          <w:rFonts w:hint="eastAsia"/>
        </w:rPr>
        <w:t>基础能力维度评分表</w:t>
      </w:r>
    </w:p>
    <w:tbl>
      <w:tblPr>
        <w:tblStyle w:val="37"/>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
        <w:gridCol w:w="5102"/>
        <w:gridCol w:w="739"/>
        <w:gridCol w:w="738"/>
        <w:gridCol w:w="646"/>
        <w:gridCol w:w="673"/>
      </w:tblGrid>
      <w:tr w14:paraId="11FC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Align w:val="center"/>
          </w:tcPr>
          <w:p w14:paraId="7391796C">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sz w:val="18"/>
                <w:szCs w:val="18"/>
              </w:rPr>
            </w:pPr>
            <w:r>
              <w:rPr>
                <w:rFonts w:hint="eastAsia" w:ascii="宋体" w:hAnsi="宋体" w:eastAsia="宋体" w:cs="宋体"/>
                <w:sz w:val="18"/>
                <w:szCs w:val="18"/>
              </w:rPr>
              <w:t>二级指标</w:t>
            </w:r>
          </w:p>
        </w:tc>
        <w:tc>
          <w:tcPr>
            <w:tcW w:w="5102" w:type="dxa"/>
            <w:vAlign w:val="center"/>
          </w:tcPr>
          <w:p w14:paraId="008A0539">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sz w:val="18"/>
                <w:szCs w:val="18"/>
              </w:rPr>
            </w:pPr>
            <w:r>
              <w:rPr>
                <w:rFonts w:hint="eastAsia" w:ascii="宋体" w:hAnsi="宋体" w:eastAsia="宋体" w:cs="宋体"/>
                <w:sz w:val="18"/>
                <w:szCs w:val="18"/>
              </w:rPr>
              <w:t>三级指标（评价要点）</w:t>
            </w:r>
          </w:p>
        </w:tc>
        <w:tc>
          <w:tcPr>
            <w:tcW w:w="739" w:type="dxa"/>
            <w:vAlign w:val="center"/>
          </w:tcPr>
          <w:p w14:paraId="2D1A5FE9">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sz w:val="18"/>
                <w:szCs w:val="18"/>
              </w:rPr>
            </w:pPr>
            <w:r>
              <w:rPr>
                <w:rFonts w:hint="eastAsia" w:ascii="宋体" w:hAnsi="宋体" w:eastAsia="宋体" w:cs="宋体"/>
                <w:sz w:val="18"/>
                <w:szCs w:val="18"/>
              </w:rPr>
              <w:t>分值</w:t>
            </w:r>
          </w:p>
        </w:tc>
        <w:tc>
          <w:tcPr>
            <w:tcW w:w="738" w:type="dxa"/>
            <w:vAlign w:val="center"/>
          </w:tcPr>
          <w:p w14:paraId="068653D7">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sz w:val="18"/>
                <w:szCs w:val="18"/>
              </w:rPr>
            </w:pPr>
            <w:r>
              <w:rPr>
                <w:rFonts w:hint="eastAsia" w:ascii="宋体" w:hAnsi="宋体" w:eastAsia="宋体" w:cs="宋体"/>
                <w:sz w:val="18"/>
                <w:szCs w:val="18"/>
              </w:rPr>
              <w:t>评分等级</w:t>
            </w:r>
          </w:p>
        </w:tc>
        <w:tc>
          <w:tcPr>
            <w:tcW w:w="646" w:type="dxa"/>
            <w:vAlign w:val="center"/>
          </w:tcPr>
          <w:p w14:paraId="53706578">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sz w:val="18"/>
                <w:szCs w:val="18"/>
              </w:rPr>
            </w:pPr>
            <w:r>
              <w:rPr>
                <w:rFonts w:hint="eastAsia" w:ascii="宋体" w:hAnsi="宋体" w:eastAsia="宋体" w:cs="宋体"/>
                <w:sz w:val="18"/>
                <w:szCs w:val="18"/>
              </w:rPr>
              <w:t>得分系数</w:t>
            </w:r>
          </w:p>
        </w:tc>
        <w:tc>
          <w:tcPr>
            <w:tcW w:w="673" w:type="dxa"/>
            <w:vAlign w:val="center"/>
          </w:tcPr>
          <w:p w14:paraId="48C16075">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sz w:val="18"/>
                <w:szCs w:val="18"/>
              </w:rPr>
            </w:pPr>
            <w:r>
              <w:rPr>
                <w:rFonts w:hint="eastAsia" w:ascii="宋体" w:hAnsi="宋体" w:eastAsia="宋体" w:cs="宋体"/>
                <w:sz w:val="18"/>
                <w:szCs w:val="18"/>
              </w:rPr>
              <w:t>得分</w:t>
            </w:r>
          </w:p>
        </w:tc>
      </w:tr>
      <w:tr w14:paraId="0981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609E5FF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r>
              <w:rPr>
                <w:rFonts w:hint="eastAsia" w:ascii="宋体" w:hAnsi="宋体" w:eastAsia="宋体" w:cs="宋体"/>
                <w:sz w:val="18"/>
                <w:szCs w:val="18"/>
              </w:rPr>
              <w:t>老年心理基础知识（10分）</w:t>
            </w:r>
          </w:p>
        </w:tc>
        <w:tc>
          <w:tcPr>
            <w:tcW w:w="5102" w:type="dxa"/>
          </w:tcPr>
          <w:p w14:paraId="63A74C6F">
            <w:pPr>
              <w:pStyle w:val="106"/>
              <w:pBdr>
                <w:top w:val="none" w:color="auto" w:sz="0" w:space="0"/>
                <w:left w:val="none" w:color="auto" w:sz="0" w:space="0"/>
                <w:bottom w:val="none" w:color="auto" w:sz="0" w:space="0"/>
                <w:right w:val="none" w:color="auto" w:sz="0" w:space="0"/>
              </w:pBdr>
              <w:jc w:val="left"/>
              <w:rPr>
                <w:rFonts w:hint="eastAsia" w:ascii="宋体" w:hAnsi="宋体" w:eastAsia="宋体" w:cs="宋体"/>
                <w:sz w:val="18"/>
                <w:szCs w:val="18"/>
              </w:rPr>
            </w:pPr>
            <w:r>
              <w:rPr>
                <w:rFonts w:hint="eastAsia" w:ascii="宋体" w:hAnsi="宋体" w:eastAsia="宋体" w:cs="宋体"/>
                <w:sz w:val="18"/>
                <w:szCs w:val="18"/>
              </w:rPr>
              <w:t>掌握老年期心理发展特点及主要理论</w:t>
            </w:r>
          </w:p>
        </w:tc>
        <w:tc>
          <w:tcPr>
            <w:tcW w:w="739" w:type="dxa"/>
          </w:tcPr>
          <w:p w14:paraId="620B7D1B">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r>
              <w:rPr>
                <w:rFonts w:hint="eastAsia" w:ascii="宋体" w:hAnsi="宋体" w:eastAsia="宋体" w:cs="宋体"/>
                <w:sz w:val="18"/>
                <w:szCs w:val="18"/>
              </w:rPr>
              <w:t>2</w:t>
            </w:r>
          </w:p>
        </w:tc>
        <w:tc>
          <w:tcPr>
            <w:tcW w:w="738" w:type="dxa"/>
          </w:tcPr>
          <w:p w14:paraId="57CC23A9">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23D3BD50">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55A6474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1933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71EEB3CF">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787005A4">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掌握老年人常见心理问题（如抑郁、焦虑、孤独、认知障碍等）的临床表现与识别要点</w:t>
            </w:r>
          </w:p>
        </w:tc>
        <w:tc>
          <w:tcPr>
            <w:tcW w:w="739" w:type="dxa"/>
            <w:shd w:val="clear" w:color="auto" w:fill="auto"/>
            <w:vAlign w:val="top"/>
          </w:tcPr>
          <w:p w14:paraId="795B420C">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shd w:val="clear" w:color="auto" w:fill="auto"/>
            <w:vAlign w:val="top"/>
          </w:tcPr>
          <w:p w14:paraId="3BF87C86">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p>
        </w:tc>
        <w:tc>
          <w:tcPr>
            <w:tcW w:w="646" w:type="dxa"/>
          </w:tcPr>
          <w:p w14:paraId="5FB9BAE1">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551C80DA">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518A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1219CF19">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0FC6593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了解老年人心理健康的评估工具及其适用范围</w:t>
            </w:r>
          </w:p>
        </w:tc>
        <w:tc>
          <w:tcPr>
            <w:tcW w:w="739" w:type="dxa"/>
            <w:shd w:val="clear" w:color="auto" w:fill="auto"/>
            <w:vAlign w:val="top"/>
          </w:tcPr>
          <w:p w14:paraId="3A0725E0">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shd w:val="clear" w:color="auto" w:fill="auto"/>
            <w:vAlign w:val="top"/>
          </w:tcPr>
          <w:p w14:paraId="354FA9D3">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p>
        </w:tc>
        <w:tc>
          <w:tcPr>
            <w:tcW w:w="646" w:type="dxa"/>
          </w:tcPr>
          <w:p w14:paraId="2FDD5F62">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4BC4B901">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1241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68158271">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7C99C69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了解社会心理因素（如丧偶、退休、空巢、慢性疾病等）对老年人心理健康的影响机制</w:t>
            </w:r>
          </w:p>
        </w:tc>
        <w:tc>
          <w:tcPr>
            <w:tcW w:w="739" w:type="dxa"/>
            <w:shd w:val="clear" w:color="auto" w:fill="auto"/>
            <w:vAlign w:val="top"/>
          </w:tcPr>
          <w:p w14:paraId="3798FB38">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shd w:val="clear" w:color="auto" w:fill="auto"/>
            <w:vAlign w:val="top"/>
          </w:tcPr>
          <w:p w14:paraId="55C1ABBB">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p>
        </w:tc>
        <w:tc>
          <w:tcPr>
            <w:tcW w:w="646" w:type="dxa"/>
          </w:tcPr>
          <w:p w14:paraId="33128220">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6815DA3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7B3F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776CC16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251F433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了解老年心理照护相关的法律法规和政策要求</w:t>
            </w:r>
          </w:p>
        </w:tc>
        <w:tc>
          <w:tcPr>
            <w:tcW w:w="739" w:type="dxa"/>
            <w:shd w:val="clear" w:color="auto" w:fill="auto"/>
            <w:vAlign w:val="top"/>
          </w:tcPr>
          <w:p w14:paraId="608F9B48">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shd w:val="clear" w:color="auto" w:fill="auto"/>
            <w:vAlign w:val="top"/>
          </w:tcPr>
          <w:p w14:paraId="0ED8B0C0">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p>
        </w:tc>
        <w:tc>
          <w:tcPr>
            <w:tcW w:w="646" w:type="dxa"/>
          </w:tcPr>
          <w:p w14:paraId="4527822A">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06C03750">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27EE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162AF1FA">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r>
              <w:rPr>
                <w:rFonts w:hint="eastAsia" w:ascii="宋体" w:hAnsi="宋体" w:eastAsia="宋体" w:cs="宋体"/>
                <w:sz w:val="18"/>
                <w:szCs w:val="18"/>
              </w:rPr>
              <w:t>基本沟通与观察能力（10分）</w:t>
            </w:r>
          </w:p>
        </w:tc>
        <w:tc>
          <w:tcPr>
            <w:tcW w:w="5102" w:type="dxa"/>
          </w:tcPr>
          <w:p w14:paraId="108C196F">
            <w:pPr>
              <w:pStyle w:val="106"/>
              <w:pBdr>
                <w:top w:val="none" w:color="auto" w:sz="0" w:space="0"/>
                <w:left w:val="none" w:color="auto" w:sz="0" w:space="0"/>
                <w:bottom w:val="none" w:color="auto" w:sz="0" w:space="0"/>
                <w:right w:val="none" w:color="auto" w:sz="0" w:space="0"/>
              </w:pBdr>
              <w:jc w:val="left"/>
              <w:rPr>
                <w:rFonts w:hint="eastAsia" w:ascii="宋体" w:hAnsi="宋体" w:eastAsia="宋体" w:cs="宋体"/>
                <w:sz w:val="18"/>
                <w:szCs w:val="18"/>
              </w:rPr>
            </w:pPr>
            <w:r>
              <w:rPr>
                <w:rFonts w:hint="eastAsia" w:ascii="宋体" w:hAnsi="宋体" w:eastAsia="宋体" w:cs="宋体"/>
                <w:sz w:val="18"/>
                <w:szCs w:val="18"/>
              </w:rPr>
              <w:t>能够运用倾听、共情、澄清、反馈等基本沟通技巧与老年人建立信任关系</w:t>
            </w:r>
          </w:p>
        </w:tc>
        <w:tc>
          <w:tcPr>
            <w:tcW w:w="739" w:type="dxa"/>
          </w:tcPr>
          <w:p w14:paraId="60F52CEB">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r>
              <w:rPr>
                <w:rFonts w:hint="eastAsia" w:ascii="宋体" w:hAnsi="宋体" w:eastAsia="宋体" w:cs="宋体"/>
                <w:sz w:val="18"/>
                <w:szCs w:val="18"/>
              </w:rPr>
              <w:t>2</w:t>
            </w:r>
          </w:p>
        </w:tc>
        <w:tc>
          <w:tcPr>
            <w:tcW w:w="738" w:type="dxa"/>
          </w:tcPr>
          <w:p w14:paraId="4BAFF808">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7F825E7B">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7B337CCC">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2F76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53BAF3DA">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2E945B9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能够通过言语和非言语线索观察老年人的情绪状态和行为变化</w:t>
            </w:r>
          </w:p>
        </w:tc>
        <w:tc>
          <w:tcPr>
            <w:tcW w:w="739" w:type="dxa"/>
            <w:shd w:val="clear" w:color="auto" w:fill="auto"/>
            <w:vAlign w:val="top"/>
          </w:tcPr>
          <w:p w14:paraId="21530CDD">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tcPr>
          <w:p w14:paraId="19BD88B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30EEB32D">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50E0327A">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4B45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9E37598">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761E28BC">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能够根据老年人的文化背景、认知水平和个性特点调整沟通方式</w:t>
            </w:r>
          </w:p>
        </w:tc>
        <w:tc>
          <w:tcPr>
            <w:tcW w:w="739" w:type="dxa"/>
            <w:shd w:val="clear" w:color="auto" w:fill="auto"/>
            <w:vAlign w:val="top"/>
          </w:tcPr>
          <w:p w14:paraId="053D9494">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tcPr>
          <w:p w14:paraId="40F58A98">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492967FF">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79E7026F">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72F6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5030A6D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63F9C32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能够使用通俗易懂的语言向老年人解释心理照护的目的和内容</w:t>
            </w:r>
          </w:p>
        </w:tc>
        <w:tc>
          <w:tcPr>
            <w:tcW w:w="739" w:type="dxa"/>
            <w:shd w:val="clear" w:color="auto" w:fill="auto"/>
            <w:vAlign w:val="top"/>
          </w:tcPr>
          <w:p w14:paraId="60D709E6">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tcPr>
          <w:p w14:paraId="3CA8CCAD">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187A9BFC">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7DA606E9">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5280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4A3BF886">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43633A7D">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能够通过日常交流和生活照护中的细节观察，精准捕捉老年人的隐性心理需求</w:t>
            </w:r>
          </w:p>
        </w:tc>
        <w:tc>
          <w:tcPr>
            <w:tcW w:w="739" w:type="dxa"/>
            <w:shd w:val="clear" w:color="auto" w:fill="auto"/>
            <w:vAlign w:val="top"/>
          </w:tcPr>
          <w:p w14:paraId="499A5717">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tcPr>
          <w:p w14:paraId="76F8BD35">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213E9C05">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46C747A4">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36EC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16B92F6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r>
              <w:rPr>
                <w:rFonts w:hint="eastAsia" w:ascii="宋体" w:hAnsi="宋体" w:eastAsia="宋体" w:cs="宋体"/>
                <w:sz w:val="18"/>
                <w:szCs w:val="18"/>
              </w:rPr>
              <w:t>职业伦理与法律意识（10分）</w:t>
            </w:r>
          </w:p>
        </w:tc>
        <w:tc>
          <w:tcPr>
            <w:tcW w:w="5102" w:type="dxa"/>
          </w:tcPr>
          <w:p w14:paraId="13407DD5">
            <w:pPr>
              <w:pStyle w:val="106"/>
              <w:pBdr>
                <w:top w:val="none" w:color="auto" w:sz="0" w:space="0"/>
                <w:left w:val="none" w:color="auto" w:sz="0" w:space="0"/>
                <w:bottom w:val="none" w:color="auto" w:sz="0" w:space="0"/>
                <w:right w:val="none" w:color="auto" w:sz="0" w:space="0"/>
              </w:pBdr>
              <w:jc w:val="left"/>
              <w:rPr>
                <w:rFonts w:hint="eastAsia" w:ascii="宋体" w:hAnsi="宋体" w:eastAsia="宋体" w:cs="宋体"/>
                <w:sz w:val="18"/>
                <w:szCs w:val="18"/>
              </w:rPr>
            </w:pPr>
            <w:r>
              <w:rPr>
                <w:rFonts w:hint="eastAsia" w:ascii="宋体" w:hAnsi="宋体" w:eastAsia="宋体" w:cs="宋体"/>
                <w:sz w:val="18"/>
                <w:szCs w:val="18"/>
              </w:rPr>
              <w:t>尊重老年人的隐私权、知情同意权和自主决定权</w:t>
            </w:r>
          </w:p>
        </w:tc>
        <w:tc>
          <w:tcPr>
            <w:tcW w:w="739" w:type="dxa"/>
          </w:tcPr>
          <w:p w14:paraId="41F7D0F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r>
              <w:rPr>
                <w:rFonts w:hint="eastAsia" w:ascii="宋体" w:hAnsi="宋体" w:eastAsia="宋体" w:cs="宋体"/>
                <w:sz w:val="18"/>
                <w:szCs w:val="18"/>
              </w:rPr>
              <w:t>2</w:t>
            </w:r>
          </w:p>
        </w:tc>
        <w:tc>
          <w:tcPr>
            <w:tcW w:w="738" w:type="dxa"/>
          </w:tcPr>
          <w:p w14:paraId="4A20EA6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4CAFB392">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06A6C51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5DE9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61774A04">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0D9F9000">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遵守保密原则，明确保密例外情形（如自伤、伤人风险时）及上报流程</w:t>
            </w:r>
          </w:p>
        </w:tc>
        <w:tc>
          <w:tcPr>
            <w:tcW w:w="739" w:type="dxa"/>
            <w:shd w:val="clear" w:color="auto" w:fill="auto"/>
            <w:vAlign w:val="top"/>
          </w:tcPr>
          <w:p w14:paraId="42AE7CED">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tcPr>
          <w:p w14:paraId="75F333E8">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0ED6A45B">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3B826BE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7FA4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B8A9B9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32E9D95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遵循心理照护的伦理边界，不越界、不伤害、不歧视</w:t>
            </w:r>
          </w:p>
        </w:tc>
        <w:tc>
          <w:tcPr>
            <w:tcW w:w="739" w:type="dxa"/>
            <w:shd w:val="clear" w:color="auto" w:fill="auto"/>
            <w:vAlign w:val="top"/>
          </w:tcPr>
          <w:p w14:paraId="40A123D0">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tcPr>
          <w:p w14:paraId="0F1B015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340CCC79">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0C3D24CB">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5403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2C566542">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7001773C">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了解与老年心理照护相关的法律规范及侵权责任</w:t>
            </w:r>
          </w:p>
        </w:tc>
        <w:tc>
          <w:tcPr>
            <w:tcW w:w="739" w:type="dxa"/>
            <w:shd w:val="clear" w:color="auto" w:fill="auto"/>
            <w:vAlign w:val="top"/>
          </w:tcPr>
          <w:p w14:paraId="71BEA16C">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tcPr>
          <w:p w14:paraId="1AE2035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245A590A">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68639C38">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4585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0C5DE64B">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5102" w:type="dxa"/>
            <w:vAlign w:val="top"/>
          </w:tcPr>
          <w:p w14:paraId="4AF2DFE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sz w:val="18"/>
                <w:szCs w:val="18"/>
              </w:rPr>
            </w:pPr>
            <w:r>
              <w:rPr>
                <w:rFonts w:hint="eastAsia" w:ascii="宋体" w:hAnsi="宋体" w:eastAsia="宋体" w:cs="宋体"/>
                <w:sz w:val="18"/>
                <w:szCs w:val="18"/>
              </w:rPr>
              <w:t>遵循“例外管理”原则，在坚守法律与伦理底线的前提下，灵活处理照护场景，不确定事项需及时请示汇报，平衡人文关怀与合规性</w:t>
            </w:r>
          </w:p>
        </w:tc>
        <w:tc>
          <w:tcPr>
            <w:tcW w:w="739" w:type="dxa"/>
            <w:shd w:val="clear" w:color="auto" w:fill="auto"/>
            <w:vAlign w:val="top"/>
          </w:tcPr>
          <w:p w14:paraId="74F4B856">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sz w:val="18"/>
                <w:szCs w:val="18"/>
                <w:lang w:val="en-US" w:eastAsia="zh-CN" w:bidi="ar-SA"/>
              </w:rPr>
            </w:pPr>
            <w:r>
              <w:rPr>
                <w:rFonts w:hint="eastAsia" w:ascii="宋体" w:hAnsi="宋体" w:eastAsia="宋体" w:cs="宋体"/>
                <w:sz w:val="18"/>
                <w:szCs w:val="18"/>
              </w:rPr>
              <w:t>2</w:t>
            </w:r>
          </w:p>
        </w:tc>
        <w:tc>
          <w:tcPr>
            <w:tcW w:w="738" w:type="dxa"/>
          </w:tcPr>
          <w:p w14:paraId="50BB2FF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7D19D4F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35F68BE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r w14:paraId="43FF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0" w:type="dxa"/>
            <w:gridSpan w:val="2"/>
          </w:tcPr>
          <w:p w14:paraId="5AC4CE97">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r>
              <w:rPr>
                <w:rFonts w:hint="eastAsia" w:ascii="宋体" w:hAnsi="宋体" w:eastAsia="宋体" w:cs="宋体"/>
                <w:sz w:val="18"/>
                <w:szCs w:val="18"/>
              </w:rPr>
              <w:t>基础能力维度得分</w:t>
            </w:r>
          </w:p>
        </w:tc>
        <w:tc>
          <w:tcPr>
            <w:tcW w:w="739" w:type="dxa"/>
          </w:tcPr>
          <w:p w14:paraId="0E145F7A">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r>
              <w:rPr>
                <w:rFonts w:hint="eastAsia" w:ascii="宋体" w:hAnsi="宋体" w:eastAsia="宋体" w:cs="宋体"/>
                <w:sz w:val="18"/>
                <w:szCs w:val="18"/>
              </w:rPr>
              <w:t>30</w:t>
            </w:r>
          </w:p>
        </w:tc>
        <w:tc>
          <w:tcPr>
            <w:tcW w:w="738" w:type="dxa"/>
          </w:tcPr>
          <w:p w14:paraId="116EF16E">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46" w:type="dxa"/>
          </w:tcPr>
          <w:p w14:paraId="489503D4">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c>
          <w:tcPr>
            <w:tcW w:w="673" w:type="dxa"/>
          </w:tcPr>
          <w:p w14:paraId="65DE46E5">
            <w:pPr>
              <w:pStyle w:val="106"/>
              <w:pBdr>
                <w:top w:val="none" w:color="auto" w:sz="0" w:space="0"/>
                <w:left w:val="none" w:color="auto" w:sz="0" w:space="0"/>
                <w:bottom w:val="none" w:color="auto" w:sz="0" w:space="0"/>
                <w:right w:val="none" w:color="auto" w:sz="0" w:space="0"/>
              </w:pBdr>
              <w:rPr>
                <w:rFonts w:hint="eastAsia" w:ascii="宋体" w:hAnsi="宋体" w:eastAsia="宋体" w:cs="宋体"/>
                <w:sz w:val="18"/>
                <w:szCs w:val="18"/>
              </w:rPr>
            </w:pPr>
          </w:p>
        </w:tc>
      </w:tr>
    </w:tbl>
    <w:p w14:paraId="752FC79E">
      <w:pPr>
        <w:pStyle w:val="25"/>
        <w:ind w:left="0" w:leftChars="0" w:firstLine="0" w:firstLineChars="0"/>
      </w:pPr>
    </w:p>
    <w:p w14:paraId="4328131D">
      <w:pPr>
        <w:pStyle w:val="25"/>
        <w:bidi w:val="0"/>
        <w:ind w:left="0" w:leftChars="0" w:firstLine="0" w:firstLineChars="0"/>
      </w:pPr>
    </w:p>
    <w:p w14:paraId="5D458958">
      <w:pPr>
        <w:pStyle w:val="71"/>
        <w:pBdr>
          <w:top w:val="none" w:color="auto" w:sz="0" w:space="0"/>
          <w:left w:val="none" w:color="auto" w:sz="0" w:space="0"/>
          <w:bottom w:val="none" w:color="auto" w:sz="0" w:space="0"/>
          <w:right w:val="none" w:color="auto" w:sz="0" w:space="0"/>
        </w:pBdr>
        <w:spacing w:before="312" w:after="312"/>
      </w:pPr>
      <w:bookmarkStart w:id="66" w:name="_Toc881"/>
      <w:bookmarkStart w:id="67" w:name="_Toc14898"/>
      <w:r>
        <w:rPr>
          <w:rFonts w:hint="eastAsia"/>
          <w:lang w:val="en-US" w:eastAsia="zh-CN"/>
        </w:rPr>
        <w:t>专项能力维度</w:t>
      </w:r>
      <w:bookmarkEnd w:id="66"/>
    </w:p>
    <w:p w14:paraId="68414721">
      <w:pPr>
        <w:pStyle w:val="108"/>
        <w:pBdr>
          <w:top w:val="none" w:color="auto" w:sz="0" w:space="0"/>
          <w:left w:val="none" w:color="auto" w:sz="0" w:space="0"/>
          <w:bottom w:val="none" w:color="auto" w:sz="0" w:space="0"/>
          <w:right w:val="none" w:color="auto" w:sz="0" w:space="0"/>
        </w:pBdr>
        <w:spacing w:before="156" w:after="156"/>
      </w:pPr>
      <w:r>
        <w:rPr>
          <w:rFonts w:hint="eastAsia"/>
          <w:lang w:val="en-US" w:eastAsia="zh-CN"/>
        </w:rPr>
        <w:t>专项</w:t>
      </w:r>
      <w:r>
        <w:rPr>
          <w:rFonts w:hint="eastAsia"/>
        </w:rPr>
        <w:t>能力维度评分表</w:t>
      </w:r>
    </w:p>
    <w:tbl>
      <w:tblPr>
        <w:tblStyle w:val="37"/>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
        <w:gridCol w:w="5102"/>
        <w:gridCol w:w="739"/>
        <w:gridCol w:w="738"/>
        <w:gridCol w:w="646"/>
        <w:gridCol w:w="673"/>
      </w:tblGrid>
      <w:tr w14:paraId="235F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8" w:type="dxa"/>
            <w:vAlign w:val="center"/>
          </w:tcPr>
          <w:p w14:paraId="697740C0">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二级指标</w:t>
            </w:r>
          </w:p>
        </w:tc>
        <w:tc>
          <w:tcPr>
            <w:tcW w:w="5102" w:type="dxa"/>
            <w:vAlign w:val="center"/>
          </w:tcPr>
          <w:p w14:paraId="3C6A7870">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三级指标（评价要点）</w:t>
            </w:r>
          </w:p>
        </w:tc>
        <w:tc>
          <w:tcPr>
            <w:tcW w:w="739" w:type="dxa"/>
            <w:vAlign w:val="center"/>
          </w:tcPr>
          <w:p w14:paraId="565AD717">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分值</w:t>
            </w:r>
          </w:p>
        </w:tc>
        <w:tc>
          <w:tcPr>
            <w:tcW w:w="738" w:type="dxa"/>
            <w:vAlign w:val="center"/>
          </w:tcPr>
          <w:p w14:paraId="2E4257AB">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评分等级</w:t>
            </w:r>
          </w:p>
        </w:tc>
        <w:tc>
          <w:tcPr>
            <w:tcW w:w="646" w:type="dxa"/>
            <w:vAlign w:val="center"/>
          </w:tcPr>
          <w:p w14:paraId="7C5439AC">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得分系数</w:t>
            </w:r>
          </w:p>
        </w:tc>
        <w:tc>
          <w:tcPr>
            <w:tcW w:w="673" w:type="dxa"/>
            <w:vAlign w:val="center"/>
          </w:tcPr>
          <w:p w14:paraId="538B9D7A">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得分</w:t>
            </w:r>
          </w:p>
        </w:tc>
      </w:tr>
      <w:tr w14:paraId="48E7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658F662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心理评估与状态识别（10分）</w:t>
            </w:r>
          </w:p>
        </w:tc>
        <w:tc>
          <w:tcPr>
            <w:tcW w:w="5102" w:type="dxa"/>
            <w:vAlign w:val="top"/>
          </w:tcPr>
          <w:p w14:paraId="325589F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能够使用标准化心理评估工具（如GDS、SAS、MMSE等）开展评估</w:t>
            </w:r>
          </w:p>
        </w:tc>
        <w:tc>
          <w:tcPr>
            <w:tcW w:w="739" w:type="dxa"/>
          </w:tcPr>
          <w:p w14:paraId="68648496">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6AF6B412">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06A087E5">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1B430D95">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156C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5AB80D0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161CF068">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能够通过观察和访谈识别老年人异常情绪和行为</w:t>
            </w:r>
          </w:p>
        </w:tc>
        <w:tc>
          <w:tcPr>
            <w:tcW w:w="739" w:type="dxa"/>
            <w:shd w:val="clear" w:color="auto" w:fill="auto"/>
            <w:vAlign w:val="top"/>
          </w:tcPr>
          <w:p w14:paraId="442F12E3">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shd w:val="clear" w:color="auto" w:fill="auto"/>
            <w:vAlign w:val="top"/>
          </w:tcPr>
          <w:p w14:paraId="427DBC6F">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p>
        </w:tc>
        <w:tc>
          <w:tcPr>
            <w:tcW w:w="646" w:type="dxa"/>
          </w:tcPr>
          <w:p w14:paraId="4D9E395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3FCB52A5">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7084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28E2795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365FCD3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能够对老年人的精神状态进行系统观察和记录</w:t>
            </w:r>
          </w:p>
        </w:tc>
        <w:tc>
          <w:tcPr>
            <w:tcW w:w="739" w:type="dxa"/>
            <w:shd w:val="clear" w:color="auto" w:fill="auto"/>
            <w:vAlign w:val="top"/>
          </w:tcPr>
          <w:p w14:paraId="054EBF3E">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shd w:val="clear" w:color="auto" w:fill="auto"/>
            <w:vAlign w:val="top"/>
          </w:tcPr>
          <w:p w14:paraId="7A5777B5">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p>
        </w:tc>
        <w:tc>
          <w:tcPr>
            <w:tcW w:w="646" w:type="dxa"/>
          </w:tcPr>
          <w:p w14:paraId="784DCE93">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64CD9291">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4DD1B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1EDC07F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73E7C2F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能够综合评估结果和观察信息，形成初步判断并确定照护优先级</w:t>
            </w:r>
          </w:p>
        </w:tc>
        <w:tc>
          <w:tcPr>
            <w:tcW w:w="739" w:type="dxa"/>
            <w:shd w:val="clear" w:color="auto" w:fill="auto"/>
            <w:vAlign w:val="top"/>
          </w:tcPr>
          <w:p w14:paraId="076E9106">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shd w:val="clear" w:color="auto" w:fill="auto"/>
            <w:vAlign w:val="top"/>
          </w:tcPr>
          <w:p w14:paraId="136F02F0">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p>
        </w:tc>
        <w:tc>
          <w:tcPr>
            <w:tcW w:w="646" w:type="dxa"/>
          </w:tcPr>
          <w:p w14:paraId="786D171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61161BF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363E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48978FB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6F122776">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能够识别自杀、自伤等高风险信号并及时上报</w:t>
            </w:r>
          </w:p>
        </w:tc>
        <w:tc>
          <w:tcPr>
            <w:tcW w:w="739" w:type="dxa"/>
            <w:shd w:val="clear" w:color="auto" w:fill="auto"/>
            <w:vAlign w:val="top"/>
          </w:tcPr>
          <w:p w14:paraId="126F7A09">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shd w:val="clear" w:color="auto" w:fill="auto"/>
            <w:vAlign w:val="top"/>
          </w:tcPr>
          <w:p w14:paraId="277B0E32">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p>
        </w:tc>
        <w:tc>
          <w:tcPr>
            <w:tcW w:w="646" w:type="dxa"/>
          </w:tcPr>
          <w:p w14:paraId="17AD778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75C68958">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0E6C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366EA85A">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心理支持与情绪疏导（10分）</w:t>
            </w:r>
          </w:p>
        </w:tc>
        <w:tc>
          <w:tcPr>
            <w:tcW w:w="5102" w:type="dxa"/>
            <w:vAlign w:val="top"/>
          </w:tcPr>
          <w:p w14:paraId="28316010">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能够运用支持性心理照护技术为老年人提供情绪支持</w:t>
            </w:r>
          </w:p>
        </w:tc>
        <w:tc>
          <w:tcPr>
            <w:tcW w:w="739" w:type="dxa"/>
          </w:tcPr>
          <w:p w14:paraId="2F56B72D">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7E4371A6">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19CB44D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227DD41D">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71B3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26D7ABBA">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205FE28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能够设计和组织老年人心理健康促进活动</w:t>
            </w:r>
          </w:p>
        </w:tc>
        <w:tc>
          <w:tcPr>
            <w:tcW w:w="739" w:type="dxa"/>
            <w:shd w:val="clear" w:color="auto" w:fill="auto"/>
            <w:vAlign w:val="top"/>
          </w:tcPr>
          <w:p w14:paraId="046EC240">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tcPr>
          <w:p w14:paraId="70F655D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176156F2">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497A5146">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386E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5FBF5AC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03C2501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能够针对老年人的个体差异制定个性化的心理照护计划</w:t>
            </w:r>
          </w:p>
        </w:tc>
        <w:tc>
          <w:tcPr>
            <w:tcW w:w="739" w:type="dxa"/>
            <w:shd w:val="clear" w:color="auto" w:fill="auto"/>
            <w:vAlign w:val="top"/>
          </w:tcPr>
          <w:p w14:paraId="6DD42663">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tcPr>
          <w:p w14:paraId="2B3CB68F">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35E171D0">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12B5164F">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1B96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14A9594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1794BE8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能够运用认知引导、行为激活等方法帮助老年人改善消极情绪</w:t>
            </w:r>
          </w:p>
        </w:tc>
        <w:tc>
          <w:tcPr>
            <w:tcW w:w="739" w:type="dxa"/>
            <w:shd w:val="clear" w:color="auto" w:fill="auto"/>
            <w:vAlign w:val="top"/>
          </w:tcPr>
          <w:p w14:paraId="117A40C5">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tcPr>
          <w:p w14:paraId="5D9D1485">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556E32C6">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50E4E40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3427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0D8189F6">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6A7DD59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能够评价心理照护措施的效果并及时调整方案</w:t>
            </w:r>
          </w:p>
        </w:tc>
        <w:tc>
          <w:tcPr>
            <w:tcW w:w="739" w:type="dxa"/>
            <w:shd w:val="clear" w:color="auto" w:fill="auto"/>
            <w:vAlign w:val="top"/>
          </w:tcPr>
          <w:p w14:paraId="39E2B355">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tcPr>
          <w:p w14:paraId="0BDDA21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1495098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3D10974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44ED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037D4FF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心理危机识别与应对（10分）</w:t>
            </w:r>
          </w:p>
        </w:tc>
        <w:tc>
          <w:tcPr>
            <w:tcW w:w="5102" w:type="dxa"/>
            <w:vAlign w:val="top"/>
          </w:tcPr>
          <w:p w14:paraId="126CDCF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能够识别老年人心理危机的预警信号</w:t>
            </w:r>
          </w:p>
        </w:tc>
        <w:tc>
          <w:tcPr>
            <w:tcW w:w="739" w:type="dxa"/>
          </w:tcPr>
          <w:p w14:paraId="4F024671">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7617F662">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7A0786A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238D1FDD">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34D7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6A96B2C6">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3C7D0CE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掌握自杀风险的评估要点和紧急干预流程</w:t>
            </w:r>
          </w:p>
        </w:tc>
        <w:tc>
          <w:tcPr>
            <w:tcW w:w="739" w:type="dxa"/>
            <w:shd w:val="clear" w:color="auto" w:fill="auto"/>
            <w:vAlign w:val="top"/>
          </w:tcPr>
          <w:p w14:paraId="53744F07">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tcPr>
          <w:p w14:paraId="0E4B4FCC">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01A2EC8F">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7625C1A8">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3904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59831523">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2C7580D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能够在危机情境中保持冷静，采取安全的干预措施</w:t>
            </w:r>
          </w:p>
        </w:tc>
        <w:tc>
          <w:tcPr>
            <w:tcW w:w="739" w:type="dxa"/>
            <w:shd w:val="clear" w:color="auto" w:fill="auto"/>
            <w:vAlign w:val="top"/>
          </w:tcPr>
          <w:p w14:paraId="04808E48">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tcPr>
          <w:p w14:paraId="299F5141">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58215641">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54F1370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2C88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79BB073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446D5337">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掌握危机事件后的上报流程和转介机制</w:t>
            </w:r>
          </w:p>
        </w:tc>
        <w:tc>
          <w:tcPr>
            <w:tcW w:w="739" w:type="dxa"/>
            <w:shd w:val="clear" w:color="auto" w:fill="auto"/>
            <w:vAlign w:val="top"/>
          </w:tcPr>
          <w:p w14:paraId="5CB032A5">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tcPr>
          <w:p w14:paraId="426CF281">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02FE048C">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44785A28">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1DCF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227BFEA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2AD09EB2">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了解精神科急症（如谵妄、严重精神病性症状）的识别与转介要求</w:t>
            </w:r>
          </w:p>
        </w:tc>
        <w:tc>
          <w:tcPr>
            <w:tcW w:w="739" w:type="dxa"/>
            <w:shd w:val="clear" w:color="auto" w:fill="auto"/>
            <w:vAlign w:val="top"/>
          </w:tcPr>
          <w:p w14:paraId="50E741A1">
            <w:pPr>
              <w:pStyle w:val="106"/>
              <w:pBdr>
                <w:top w:val="none" w:color="auto" w:sz="0" w:space="0"/>
                <w:left w:val="none" w:color="auto" w:sz="0" w:space="0"/>
                <w:bottom w:val="none" w:color="auto" w:sz="0" w:space="0"/>
                <w:right w:val="none" w:color="auto" w:sz="0" w:space="0"/>
              </w:pBdr>
              <w:ind w:firstLine="0" w:firstLineChars="0"/>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w:t>
            </w:r>
          </w:p>
        </w:tc>
        <w:tc>
          <w:tcPr>
            <w:tcW w:w="738" w:type="dxa"/>
          </w:tcPr>
          <w:p w14:paraId="7C46196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064B90F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5205C97D">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005F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0F80DC18">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特殊情境心理照护（10分）</w:t>
            </w:r>
          </w:p>
        </w:tc>
        <w:tc>
          <w:tcPr>
            <w:tcW w:w="5102" w:type="dxa"/>
            <w:vAlign w:val="top"/>
          </w:tcPr>
          <w:p w14:paraId="58729AF2">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失智照护：能够运用怀旧、认知训练、行为引导等技能提供心理照护，识别和应对异常行为</w:t>
            </w:r>
          </w:p>
        </w:tc>
        <w:tc>
          <w:tcPr>
            <w:tcW w:w="739" w:type="dxa"/>
            <w:shd w:val="clear" w:color="auto" w:fill="auto"/>
            <w:vAlign w:val="top"/>
          </w:tcPr>
          <w:p w14:paraId="5CA7B858">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3B69C62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3D21A17F">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2F56660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0D4B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0A6C9D8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5C418A16">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临终心理照护：能够运用生命回顾、尊严疗法、存在主义关怀等技术提供心理支持</w:t>
            </w:r>
          </w:p>
        </w:tc>
        <w:tc>
          <w:tcPr>
            <w:tcW w:w="739" w:type="dxa"/>
            <w:shd w:val="clear" w:color="auto" w:fill="auto"/>
            <w:vAlign w:val="top"/>
          </w:tcPr>
          <w:p w14:paraId="1A32A40C">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2A4223FC">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483C8EC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62F44623">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78E0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47605CA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68805D9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死亡教育：能够运用适当方式与老年人及家属沟通死亡相关话题</w:t>
            </w:r>
          </w:p>
        </w:tc>
        <w:tc>
          <w:tcPr>
            <w:tcW w:w="739" w:type="dxa"/>
            <w:shd w:val="clear" w:color="auto" w:fill="auto"/>
            <w:vAlign w:val="top"/>
          </w:tcPr>
          <w:p w14:paraId="563E95B3">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15B177A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3677F5F1">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62B596A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04E0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6C33C9D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791990CC">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哀伤辅导：能够为丧亲家属提供基本的哀伤支持和辅导</w:t>
            </w:r>
          </w:p>
        </w:tc>
        <w:tc>
          <w:tcPr>
            <w:tcW w:w="739" w:type="dxa"/>
            <w:shd w:val="clear" w:color="auto" w:fill="auto"/>
            <w:vAlign w:val="top"/>
          </w:tcPr>
          <w:p w14:paraId="7B303A45">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467AEE6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5E27A3DC">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3890C26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50C3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0973986A">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2C4F2E8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能够根据特殊情境特点，综合运用多种心理照护技术，制定并实施综合照护方案</w:t>
            </w:r>
          </w:p>
        </w:tc>
        <w:tc>
          <w:tcPr>
            <w:tcW w:w="739" w:type="dxa"/>
            <w:shd w:val="clear" w:color="auto" w:fill="auto"/>
            <w:vAlign w:val="top"/>
          </w:tcPr>
          <w:p w14:paraId="4E2A4095">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12D15BB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6E7A064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2E0D96B3">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r w14:paraId="1171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0" w:type="dxa"/>
            <w:gridSpan w:val="2"/>
          </w:tcPr>
          <w:p w14:paraId="186EC15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专项</w:t>
            </w:r>
            <w:r>
              <w:rPr>
                <w:rFonts w:hint="eastAsia" w:ascii="宋体" w:hAnsi="宋体" w:eastAsia="宋体" w:cs="宋体"/>
                <w:color w:val="auto"/>
                <w:sz w:val="18"/>
                <w:szCs w:val="18"/>
              </w:rPr>
              <w:t>能力维度得分</w:t>
            </w:r>
          </w:p>
        </w:tc>
        <w:tc>
          <w:tcPr>
            <w:tcW w:w="739" w:type="dxa"/>
          </w:tcPr>
          <w:p w14:paraId="509F6EBF">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30</w:t>
            </w:r>
          </w:p>
        </w:tc>
        <w:tc>
          <w:tcPr>
            <w:tcW w:w="738" w:type="dxa"/>
          </w:tcPr>
          <w:p w14:paraId="19073B08">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76610F2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5A1AE93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bl>
    <w:p w14:paraId="10F118A1">
      <w:pPr>
        <w:pStyle w:val="71"/>
        <w:pBdr>
          <w:top w:val="none" w:color="auto" w:sz="0" w:space="0"/>
          <w:left w:val="none" w:color="auto" w:sz="0" w:space="0"/>
          <w:bottom w:val="none" w:color="auto" w:sz="0" w:space="0"/>
          <w:right w:val="none" w:color="auto" w:sz="0" w:space="0"/>
        </w:pBdr>
        <w:spacing w:before="312" w:after="312"/>
      </w:pPr>
      <w:bookmarkStart w:id="68" w:name="_Toc27009"/>
      <w:r>
        <w:rPr>
          <w:rFonts w:hint="eastAsia"/>
          <w:lang w:val="en-US" w:eastAsia="zh-CN"/>
        </w:rPr>
        <w:t>职业素养维度</w:t>
      </w:r>
      <w:bookmarkEnd w:id="68"/>
    </w:p>
    <w:p w14:paraId="1337B358">
      <w:pPr>
        <w:pStyle w:val="108"/>
        <w:pBdr>
          <w:top w:val="none" w:color="auto" w:sz="0" w:space="0"/>
          <w:left w:val="none" w:color="auto" w:sz="0" w:space="0"/>
          <w:bottom w:val="none" w:color="auto" w:sz="0" w:space="0"/>
          <w:right w:val="none" w:color="auto" w:sz="0" w:space="0"/>
        </w:pBdr>
        <w:spacing w:before="156" w:after="156"/>
      </w:pPr>
      <w:r>
        <w:rPr>
          <w:rFonts w:hint="eastAsia"/>
          <w:lang w:val="en-US" w:eastAsia="zh-CN"/>
        </w:rPr>
        <w:t>职业素养</w:t>
      </w:r>
      <w:r>
        <w:rPr>
          <w:rFonts w:hint="eastAsia"/>
        </w:rPr>
        <w:t>维度评分表</w:t>
      </w:r>
    </w:p>
    <w:tbl>
      <w:tblPr>
        <w:tblStyle w:val="37"/>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
        <w:gridCol w:w="5102"/>
        <w:gridCol w:w="739"/>
        <w:gridCol w:w="738"/>
        <w:gridCol w:w="646"/>
        <w:gridCol w:w="673"/>
      </w:tblGrid>
      <w:tr w14:paraId="30C0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Align w:val="center"/>
          </w:tcPr>
          <w:p w14:paraId="2E13DFDB">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二级指标</w:t>
            </w:r>
          </w:p>
        </w:tc>
        <w:tc>
          <w:tcPr>
            <w:tcW w:w="5102" w:type="dxa"/>
            <w:vAlign w:val="center"/>
          </w:tcPr>
          <w:p w14:paraId="57981CCE">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三级指标（评价要点）</w:t>
            </w:r>
          </w:p>
        </w:tc>
        <w:tc>
          <w:tcPr>
            <w:tcW w:w="739" w:type="dxa"/>
            <w:vAlign w:val="center"/>
          </w:tcPr>
          <w:p w14:paraId="521079F3">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分值</w:t>
            </w:r>
          </w:p>
        </w:tc>
        <w:tc>
          <w:tcPr>
            <w:tcW w:w="738" w:type="dxa"/>
            <w:vAlign w:val="center"/>
          </w:tcPr>
          <w:p w14:paraId="0D1CAAE2">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评分等级</w:t>
            </w:r>
          </w:p>
        </w:tc>
        <w:tc>
          <w:tcPr>
            <w:tcW w:w="646" w:type="dxa"/>
            <w:vAlign w:val="center"/>
          </w:tcPr>
          <w:p w14:paraId="158EDFC7">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得分系数</w:t>
            </w:r>
          </w:p>
        </w:tc>
        <w:tc>
          <w:tcPr>
            <w:tcW w:w="673" w:type="dxa"/>
            <w:vAlign w:val="center"/>
          </w:tcPr>
          <w:p w14:paraId="2E55BEC4">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得分</w:t>
            </w:r>
          </w:p>
        </w:tc>
      </w:tr>
      <w:tr w14:paraId="6823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0CC040D0">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同理心与人文关怀（10分）</w:t>
            </w:r>
          </w:p>
        </w:tc>
        <w:tc>
          <w:tcPr>
            <w:tcW w:w="5102" w:type="dxa"/>
            <w:vAlign w:val="top"/>
          </w:tcPr>
          <w:p w14:paraId="4AA14A7D">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能够设身处地理解老年人的心理感受和需求</w:t>
            </w:r>
          </w:p>
        </w:tc>
        <w:tc>
          <w:tcPr>
            <w:tcW w:w="739" w:type="dxa"/>
          </w:tcPr>
          <w:p w14:paraId="4F8F8E2A">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5A132B6D">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59AD7C8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0B44C5E8">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3BFC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4612A541">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10B58257">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在照护过程中保持耐心、温和、尊重的态度</w:t>
            </w:r>
          </w:p>
        </w:tc>
        <w:tc>
          <w:tcPr>
            <w:tcW w:w="739" w:type="dxa"/>
            <w:shd w:val="clear" w:color="auto" w:fill="auto"/>
            <w:vAlign w:val="top"/>
          </w:tcPr>
          <w:p w14:paraId="46236C62">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738" w:type="dxa"/>
            <w:shd w:val="clear" w:color="auto" w:fill="auto"/>
            <w:vAlign w:val="top"/>
          </w:tcPr>
          <w:p w14:paraId="50B698E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lang w:val="en-US" w:eastAsia="zh-CN"/>
              </w:rPr>
            </w:pPr>
          </w:p>
        </w:tc>
        <w:tc>
          <w:tcPr>
            <w:tcW w:w="646" w:type="dxa"/>
          </w:tcPr>
          <w:p w14:paraId="6F6FF1B8">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08A0DC4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5002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4F5C955">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0E4BCB6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关注老年人的尊严和自主性，避免“俯视式”照护</w:t>
            </w:r>
          </w:p>
        </w:tc>
        <w:tc>
          <w:tcPr>
            <w:tcW w:w="739" w:type="dxa"/>
            <w:shd w:val="clear" w:color="auto" w:fill="auto"/>
            <w:vAlign w:val="top"/>
          </w:tcPr>
          <w:p w14:paraId="723DA87C">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738" w:type="dxa"/>
            <w:shd w:val="clear" w:color="auto" w:fill="auto"/>
            <w:vAlign w:val="top"/>
          </w:tcPr>
          <w:p w14:paraId="26177D6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lang w:val="en-US" w:eastAsia="zh-CN"/>
              </w:rPr>
            </w:pPr>
          </w:p>
        </w:tc>
        <w:tc>
          <w:tcPr>
            <w:tcW w:w="646" w:type="dxa"/>
          </w:tcPr>
          <w:p w14:paraId="3F0F7A9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36D5B1F6">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6E55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7B5C30E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5CA37774">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能够为老年人营造安全、温暖、接纳的心理照护环境</w:t>
            </w:r>
          </w:p>
        </w:tc>
        <w:tc>
          <w:tcPr>
            <w:tcW w:w="739" w:type="dxa"/>
            <w:shd w:val="clear" w:color="auto" w:fill="auto"/>
            <w:vAlign w:val="top"/>
          </w:tcPr>
          <w:p w14:paraId="55BABC01">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738" w:type="dxa"/>
            <w:shd w:val="clear" w:color="auto" w:fill="auto"/>
            <w:vAlign w:val="top"/>
          </w:tcPr>
          <w:p w14:paraId="00AAA6C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lang w:val="en-US" w:eastAsia="zh-CN"/>
              </w:rPr>
            </w:pPr>
          </w:p>
        </w:tc>
        <w:tc>
          <w:tcPr>
            <w:tcW w:w="646" w:type="dxa"/>
          </w:tcPr>
          <w:p w14:paraId="20E8DEB0">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79F8135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6437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2574E968">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65361D5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能够通过语言和非语言方式传递关怀，让老年人感受到被理解、被接纳、被尊重</w:t>
            </w:r>
          </w:p>
        </w:tc>
        <w:tc>
          <w:tcPr>
            <w:tcW w:w="739" w:type="dxa"/>
            <w:shd w:val="clear" w:color="auto" w:fill="auto"/>
            <w:vAlign w:val="top"/>
          </w:tcPr>
          <w:p w14:paraId="5EA0946F">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738" w:type="dxa"/>
            <w:shd w:val="clear" w:color="auto" w:fill="auto"/>
            <w:vAlign w:val="top"/>
          </w:tcPr>
          <w:p w14:paraId="465EC02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lang w:val="en-US" w:eastAsia="zh-CN"/>
              </w:rPr>
            </w:pPr>
          </w:p>
        </w:tc>
        <w:tc>
          <w:tcPr>
            <w:tcW w:w="646" w:type="dxa"/>
          </w:tcPr>
          <w:p w14:paraId="7538A24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7576451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0126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40B74CF3">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情绪管理与自我调适（</w:t>
            </w:r>
            <w:r>
              <w:rPr>
                <w:rFonts w:hint="eastAsia" w:ascii="宋体" w:hAnsi="宋体" w:eastAsia="宋体" w:cs="宋体"/>
                <w:color w:val="auto"/>
                <w:sz w:val="18"/>
                <w:szCs w:val="18"/>
                <w:lang w:val="en-US" w:eastAsia="zh-CN"/>
              </w:rPr>
              <w:t>5</w:t>
            </w:r>
            <w:r>
              <w:rPr>
                <w:rFonts w:hint="eastAsia" w:ascii="宋体" w:hAnsi="宋体" w:eastAsia="宋体" w:cs="宋体"/>
                <w:color w:val="auto"/>
                <w:sz w:val="18"/>
                <w:szCs w:val="18"/>
              </w:rPr>
              <w:t>分）</w:t>
            </w:r>
          </w:p>
        </w:tc>
        <w:tc>
          <w:tcPr>
            <w:tcW w:w="5102" w:type="dxa"/>
            <w:vAlign w:val="top"/>
          </w:tcPr>
          <w:p w14:paraId="26869F6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能够觉察和识别自身的情绪状态及其对工作的影响</w:t>
            </w:r>
          </w:p>
        </w:tc>
        <w:tc>
          <w:tcPr>
            <w:tcW w:w="739" w:type="dxa"/>
          </w:tcPr>
          <w:p w14:paraId="143DF52E">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1</w:t>
            </w:r>
          </w:p>
        </w:tc>
        <w:tc>
          <w:tcPr>
            <w:tcW w:w="738" w:type="dxa"/>
          </w:tcPr>
          <w:p w14:paraId="13964820">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2DD6DCA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2CA26B5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78FA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27FE09BD">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4B5EC81C">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掌握压力管理和情绪调适的方法</w:t>
            </w:r>
          </w:p>
        </w:tc>
        <w:tc>
          <w:tcPr>
            <w:tcW w:w="739" w:type="dxa"/>
            <w:shd w:val="clear" w:color="auto" w:fill="auto"/>
            <w:vAlign w:val="top"/>
          </w:tcPr>
          <w:p w14:paraId="3FE9E9FB">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12C53A1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31E280E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2AD04072">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6E84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E9C1D6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7BD5061C">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能够正确面对工作中的挫折和负面情绪，避免职业倦怠</w:t>
            </w:r>
          </w:p>
        </w:tc>
        <w:tc>
          <w:tcPr>
            <w:tcW w:w="739" w:type="dxa"/>
            <w:shd w:val="clear" w:color="auto" w:fill="auto"/>
            <w:vAlign w:val="top"/>
          </w:tcPr>
          <w:p w14:paraId="64D86D6A">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22A87E9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2A2A714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150D58B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493C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0559E35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5AA82A8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了解心理督导和自我关怀的意义，主动寻求支持</w:t>
            </w:r>
          </w:p>
        </w:tc>
        <w:tc>
          <w:tcPr>
            <w:tcW w:w="739" w:type="dxa"/>
            <w:shd w:val="clear" w:color="auto" w:fill="auto"/>
            <w:vAlign w:val="top"/>
          </w:tcPr>
          <w:p w14:paraId="3A521C7A">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68615DC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09E9425A">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7A5715F7">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0D3D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7FE251D5">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37D01B4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能够在高压工作情境中保持情绪稳定，为团队成员提供心理支持</w:t>
            </w:r>
          </w:p>
        </w:tc>
        <w:tc>
          <w:tcPr>
            <w:tcW w:w="739" w:type="dxa"/>
            <w:shd w:val="clear" w:color="auto" w:fill="auto"/>
            <w:vAlign w:val="top"/>
          </w:tcPr>
          <w:p w14:paraId="1740A111">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65120BD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2A1B746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30C54832">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004D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1165E1BE">
            <w:pPr>
              <w:pStyle w:val="47"/>
              <w:numPr>
                <w:ilvl w:val="3"/>
                <w:numId w:val="0"/>
              </w:numPr>
              <w:jc w:val="center"/>
              <w:rPr>
                <w:rFonts w:hint="eastAsia" w:ascii="宋体" w:hAnsi="宋体" w:eastAsia="宋体" w:cs="宋体"/>
                <w:color w:val="auto"/>
                <w:sz w:val="18"/>
                <w:szCs w:val="18"/>
              </w:rPr>
            </w:pPr>
            <w:r>
              <w:rPr>
                <w:color w:val="auto"/>
                <w:sz w:val="20"/>
                <w:szCs w:val="18"/>
              </w:rPr>
              <w:t>职业认同与专业发展</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5</w:t>
            </w:r>
            <w:r>
              <w:rPr>
                <w:rFonts w:hint="eastAsia" w:ascii="宋体" w:hAnsi="宋体" w:eastAsia="宋体" w:cs="宋体"/>
                <w:color w:val="auto"/>
                <w:sz w:val="18"/>
                <w:szCs w:val="18"/>
              </w:rPr>
              <w:t>分）</w:t>
            </w:r>
          </w:p>
        </w:tc>
        <w:tc>
          <w:tcPr>
            <w:tcW w:w="5102" w:type="dxa"/>
            <w:vAlign w:val="top"/>
          </w:tcPr>
          <w:p w14:paraId="06D534E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认同老年心理照护工作的专业价值和社会意义</w:t>
            </w:r>
          </w:p>
        </w:tc>
        <w:tc>
          <w:tcPr>
            <w:tcW w:w="739" w:type="dxa"/>
          </w:tcPr>
          <w:p w14:paraId="1484B9AD">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1</w:t>
            </w:r>
          </w:p>
        </w:tc>
        <w:tc>
          <w:tcPr>
            <w:tcW w:w="738" w:type="dxa"/>
          </w:tcPr>
          <w:p w14:paraId="5C99788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55D6EBB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43F346A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0921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467D8660">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730B2A9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具有持续学习和更新专业知识的意识与行动</w:t>
            </w:r>
          </w:p>
        </w:tc>
        <w:tc>
          <w:tcPr>
            <w:tcW w:w="739" w:type="dxa"/>
            <w:shd w:val="clear" w:color="auto" w:fill="auto"/>
            <w:vAlign w:val="top"/>
          </w:tcPr>
          <w:p w14:paraId="29F2BB2A">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1C168C7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3B8DED98">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74A5FA66">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569F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2663A11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2AB0C2D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能够参与专业培训、学术交流和实践反思，促进自身专业成长</w:t>
            </w:r>
          </w:p>
        </w:tc>
        <w:tc>
          <w:tcPr>
            <w:tcW w:w="739" w:type="dxa"/>
            <w:shd w:val="clear" w:color="auto" w:fill="auto"/>
            <w:vAlign w:val="top"/>
          </w:tcPr>
          <w:p w14:paraId="6697F30F">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1537E90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1CD2C0BD">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252FDF4C">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04A0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B3B9E0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6B99C51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具有从事老年心理照护工作的职业意愿和稳定性</w:t>
            </w:r>
          </w:p>
        </w:tc>
        <w:tc>
          <w:tcPr>
            <w:tcW w:w="739" w:type="dxa"/>
            <w:shd w:val="clear" w:color="auto" w:fill="auto"/>
            <w:vAlign w:val="top"/>
          </w:tcPr>
          <w:p w14:paraId="3C5D42FF">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186EBB3D">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60DF9DC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63B6FAD4">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4736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881F595">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430AC07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能够将实践经验与理论知识相结合，形成系统的专业见解，具备诚信素养和职业使命感</w:t>
            </w:r>
          </w:p>
        </w:tc>
        <w:tc>
          <w:tcPr>
            <w:tcW w:w="739" w:type="dxa"/>
            <w:shd w:val="clear" w:color="auto" w:fill="auto"/>
            <w:vAlign w:val="top"/>
          </w:tcPr>
          <w:p w14:paraId="325F6058">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2C44692A">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17383D6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4D5DB3C0">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52CC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0" w:type="dxa"/>
            <w:gridSpan w:val="2"/>
          </w:tcPr>
          <w:p w14:paraId="0E995C80">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职业素养维度得分</w:t>
            </w:r>
          </w:p>
        </w:tc>
        <w:tc>
          <w:tcPr>
            <w:tcW w:w="739" w:type="dxa"/>
          </w:tcPr>
          <w:p w14:paraId="203FEB1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0</w:t>
            </w:r>
          </w:p>
        </w:tc>
        <w:tc>
          <w:tcPr>
            <w:tcW w:w="738" w:type="dxa"/>
          </w:tcPr>
          <w:p w14:paraId="63E1491B">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46" w:type="dxa"/>
          </w:tcPr>
          <w:p w14:paraId="4972A349">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673" w:type="dxa"/>
          </w:tcPr>
          <w:p w14:paraId="21D19040">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r>
    </w:tbl>
    <w:p w14:paraId="4A1F48C3">
      <w:pPr>
        <w:pStyle w:val="71"/>
        <w:pBdr>
          <w:top w:val="none" w:color="auto" w:sz="0" w:space="0"/>
          <w:left w:val="none" w:color="auto" w:sz="0" w:space="0"/>
          <w:bottom w:val="none" w:color="auto" w:sz="0" w:space="0"/>
          <w:right w:val="none" w:color="auto" w:sz="0" w:space="0"/>
        </w:pBdr>
        <w:spacing w:before="312" w:after="312"/>
      </w:pPr>
      <w:bookmarkStart w:id="69" w:name="_Toc10151"/>
      <w:r>
        <w:rPr>
          <w:rFonts w:hint="eastAsia"/>
          <w:lang w:val="en-US" w:eastAsia="zh-CN"/>
        </w:rPr>
        <w:t>综合能力维度</w:t>
      </w:r>
      <w:bookmarkEnd w:id="69"/>
    </w:p>
    <w:p w14:paraId="56ED7DAC">
      <w:pPr>
        <w:pStyle w:val="108"/>
        <w:pBdr>
          <w:top w:val="none" w:color="auto" w:sz="0" w:space="0"/>
          <w:left w:val="none" w:color="auto" w:sz="0" w:space="0"/>
          <w:bottom w:val="none" w:color="auto" w:sz="0" w:space="0"/>
          <w:right w:val="none" w:color="auto" w:sz="0" w:space="0"/>
        </w:pBdr>
        <w:spacing w:before="156" w:after="156"/>
      </w:pPr>
      <w:r>
        <w:rPr>
          <w:rFonts w:hint="eastAsia"/>
          <w:lang w:val="en-US" w:eastAsia="zh-CN"/>
        </w:rPr>
        <w:t>综合能力</w:t>
      </w:r>
      <w:r>
        <w:rPr>
          <w:rFonts w:hint="eastAsia"/>
        </w:rPr>
        <w:t>维度评分表</w:t>
      </w:r>
    </w:p>
    <w:tbl>
      <w:tblPr>
        <w:tblStyle w:val="37"/>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
        <w:gridCol w:w="5102"/>
        <w:gridCol w:w="739"/>
        <w:gridCol w:w="738"/>
        <w:gridCol w:w="646"/>
        <w:gridCol w:w="673"/>
      </w:tblGrid>
      <w:tr w14:paraId="365F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Align w:val="center"/>
          </w:tcPr>
          <w:p w14:paraId="36CA9A76">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二级指标</w:t>
            </w:r>
          </w:p>
        </w:tc>
        <w:tc>
          <w:tcPr>
            <w:tcW w:w="5102" w:type="dxa"/>
            <w:vAlign w:val="center"/>
          </w:tcPr>
          <w:p w14:paraId="0A7D3D99">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三级指标（评价要点）</w:t>
            </w:r>
          </w:p>
        </w:tc>
        <w:tc>
          <w:tcPr>
            <w:tcW w:w="739" w:type="dxa"/>
            <w:vAlign w:val="center"/>
          </w:tcPr>
          <w:p w14:paraId="71B460A1">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分值</w:t>
            </w:r>
          </w:p>
        </w:tc>
        <w:tc>
          <w:tcPr>
            <w:tcW w:w="738" w:type="dxa"/>
            <w:vAlign w:val="center"/>
          </w:tcPr>
          <w:p w14:paraId="47A698DB">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评分等级</w:t>
            </w:r>
          </w:p>
        </w:tc>
        <w:tc>
          <w:tcPr>
            <w:tcW w:w="646" w:type="dxa"/>
            <w:vAlign w:val="center"/>
          </w:tcPr>
          <w:p w14:paraId="1852EB0A">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得分系数</w:t>
            </w:r>
          </w:p>
        </w:tc>
        <w:tc>
          <w:tcPr>
            <w:tcW w:w="673" w:type="dxa"/>
            <w:vAlign w:val="center"/>
          </w:tcPr>
          <w:p w14:paraId="0AD1BFAB">
            <w:pPr>
              <w:pStyle w:val="106"/>
              <w:pBdr>
                <w:top w:val="none" w:color="auto" w:sz="0" w:space="0"/>
                <w:left w:val="none" w:color="auto" w:sz="0" w:space="0"/>
                <w:bottom w:val="none" w:color="auto" w:sz="0" w:space="0"/>
                <w:right w:val="none" w:color="auto" w:sz="0" w:space="0"/>
              </w:pBdr>
              <w:jc w:val="center"/>
              <w:rPr>
                <w:rFonts w:hint="eastAsia" w:ascii="宋体" w:hAnsi="宋体" w:eastAsia="宋体" w:cs="宋体"/>
                <w:color w:val="auto"/>
                <w:sz w:val="18"/>
                <w:szCs w:val="18"/>
              </w:rPr>
            </w:pPr>
            <w:r>
              <w:rPr>
                <w:rFonts w:hint="eastAsia" w:ascii="宋体" w:hAnsi="宋体" w:eastAsia="宋体" w:cs="宋体"/>
                <w:color w:val="auto"/>
                <w:sz w:val="18"/>
                <w:szCs w:val="18"/>
              </w:rPr>
              <w:t>得分</w:t>
            </w:r>
          </w:p>
        </w:tc>
      </w:tr>
      <w:tr w14:paraId="6D14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13E35BF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综合评估与团队协作（10分）</w:t>
            </w:r>
          </w:p>
        </w:tc>
        <w:tc>
          <w:tcPr>
            <w:tcW w:w="5102" w:type="dxa"/>
            <w:vAlign w:val="top"/>
          </w:tcPr>
          <w:p w14:paraId="04DA4DB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能够对老年人的心理状况进行多维度综合评估，整合生理、心理、社会等多方面信息</w:t>
            </w:r>
          </w:p>
        </w:tc>
        <w:tc>
          <w:tcPr>
            <w:tcW w:w="739" w:type="dxa"/>
          </w:tcPr>
          <w:p w14:paraId="2C24C328">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738" w:type="dxa"/>
          </w:tcPr>
          <w:p w14:paraId="254722D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0EC108F8">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5DE11B64">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37EF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54B94C7">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63CCBE1D">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能够与服务团队进行有效协作，参与多学科团队会议</w:t>
            </w:r>
          </w:p>
        </w:tc>
        <w:tc>
          <w:tcPr>
            <w:tcW w:w="739" w:type="dxa"/>
            <w:shd w:val="clear" w:color="auto" w:fill="auto"/>
            <w:vAlign w:val="top"/>
          </w:tcPr>
          <w:p w14:paraId="20DF8F10">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738" w:type="dxa"/>
            <w:shd w:val="clear" w:color="auto" w:fill="auto"/>
            <w:vAlign w:val="top"/>
          </w:tcPr>
          <w:p w14:paraId="2C0B42B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lang w:val="en-US" w:eastAsia="zh-CN"/>
              </w:rPr>
            </w:pPr>
          </w:p>
        </w:tc>
        <w:tc>
          <w:tcPr>
            <w:tcW w:w="646" w:type="dxa"/>
          </w:tcPr>
          <w:p w14:paraId="11D85CA2">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77BA6308">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4131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1A676B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17E056B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能够在团队中清晰表达专业判断和建议，推动心理照护方案的制定与落实</w:t>
            </w:r>
          </w:p>
        </w:tc>
        <w:tc>
          <w:tcPr>
            <w:tcW w:w="739" w:type="dxa"/>
            <w:shd w:val="clear" w:color="auto" w:fill="auto"/>
            <w:vAlign w:val="top"/>
          </w:tcPr>
          <w:p w14:paraId="7002CB91">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738" w:type="dxa"/>
            <w:shd w:val="clear" w:color="auto" w:fill="auto"/>
            <w:vAlign w:val="top"/>
          </w:tcPr>
          <w:p w14:paraId="750D393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lang w:val="en-US" w:eastAsia="zh-CN"/>
              </w:rPr>
            </w:pPr>
          </w:p>
        </w:tc>
        <w:tc>
          <w:tcPr>
            <w:tcW w:w="646" w:type="dxa"/>
          </w:tcPr>
          <w:p w14:paraId="30C0495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22BA378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4046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7DA637A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70593DB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能够参与心理照护质量改进项目，提出合理化建议</w:t>
            </w:r>
          </w:p>
        </w:tc>
        <w:tc>
          <w:tcPr>
            <w:tcW w:w="739" w:type="dxa"/>
            <w:shd w:val="clear" w:color="auto" w:fill="auto"/>
            <w:vAlign w:val="top"/>
          </w:tcPr>
          <w:p w14:paraId="17ADF1B1">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738" w:type="dxa"/>
            <w:shd w:val="clear" w:color="auto" w:fill="auto"/>
            <w:vAlign w:val="top"/>
          </w:tcPr>
          <w:p w14:paraId="5AE0520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lang w:val="en-US" w:eastAsia="zh-CN"/>
              </w:rPr>
            </w:pPr>
          </w:p>
        </w:tc>
        <w:tc>
          <w:tcPr>
            <w:tcW w:w="646" w:type="dxa"/>
          </w:tcPr>
          <w:p w14:paraId="39F1E23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0DE5F294">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17AE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2AE012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7EF793FC">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能够统筹协调家属、机构、专业机构等多方资源，形成协同照护合力</w:t>
            </w:r>
          </w:p>
        </w:tc>
        <w:tc>
          <w:tcPr>
            <w:tcW w:w="739" w:type="dxa"/>
            <w:shd w:val="clear" w:color="auto" w:fill="auto"/>
            <w:vAlign w:val="top"/>
          </w:tcPr>
          <w:p w14:paraId="6EA01C25">
            <w:pPr>
              <w:pStyle w:val="106"/>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738" w:type="dxa"/>
            <w:shd w:val="clear" w:color="auto" w:fill="auto"/>
            <w:vAlign w:val="top"/>
          </w:tcPr>
          <w:p w14:paraId="0A05DE4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lang w:val="en-US" w:eastAsia="zh-CN"/>
              </w:rPr>
            </w:pPr>
          </w:p>
        </w:tc>
        <w:tc>
          <w:tcPr>
            <w:tcW w:w="646" w:type="dxa"/>
          </w:tcPr>
          <w:p w14:paraId="77C7DFCF">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0112015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5FAC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tcPr>
          <w:p w14:paraId="3385043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r>
              <w:rPr>
                <w:rFonts w:hint="eastAsia" w:ascii="宋体" w:hAnsi="宋体" w:eastAsia="宋体" w:cs="宋体"/>
                <w:color w:val="auto"/>
                <w:sz w:val="18"/>
                <w:szCs w:val="18"/>
              </w:rPr>
              <w:t>家属沟通与健康指导（</w:t>
            </w:r>
            <w:r>
              <w:rPr>
                <w:rFonts w:hint="eastAsia" w:ascii="宋体" w:hAnsi="宋体" w:eastAsia="宋体" w:cs="宋体"/>
                <w:color w:val="auto"/>
                <w:sz w:val="18"/>
                <w:szCs w:val="18"/>
                <w:lang w:val="en-US" w:eastAsia="zh-CN"/>
              </w:rPr>
              <w:t>5</w:t>
            </w:r>
            <w:r>
              <w:rPr>
                <w:rFonts w:hint="eastAsia" w:ascii="宋体" w:hAnsi="宋体" w:eastAsia="宋体" w:cs="宋体"/>
                <w:color w:val="auto"/>
                <w:sz w:val="18"/>
                <w:szCs w:val="18"/>
              </w:rPr>
              <w:t>分）</w:t>
            </w:r>
          </w:p>
        </w:tc>
        <w:tc>
          <w:tcPr>
            <w:tcW w:w="5102" w:type="dxa"/>
            <w:vAlign w:val="top"/>
          </w:tcPr>
          <w:p w14:paraId="77EC4C7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能够以通俗易懂的方式向家属解释老年人的心理状况和照护方案</w:t>
            </w:r>
          </w:p>
        </w:tc>
        <w:tc>
          <w:tcPr>
            <w:tcW w:w="739" w:type="dxa"/>
          </w:tcPr>
          <w:p w14:paraId="03116315">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1</w:t>
            </w:r>
          </w:p>
        </w:tc>
        <w:tc>
          <w:tcPr>
            <w:tcW w:w="738" w:type="dxa"/>
          </w:tcPr>
          <w:p w14:paraId="1CD522DA">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5AEDC7A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3738BF1E">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4EFD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31DFA220">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6E7C91E1">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能够指导家属掌握基本的心理支持技巧</w:t>
            </w:r>
          </w:p>
        </w:tc>
        <w:tc>
          <w:tcPr>
            <w:tcW w:w="739" w:type="dxa"/>
            <w:shd w:val="clear" w:color="auto" w:fill="auto"/>
            <w:vAlign w:val="top"/>
          </w:tcPr>
          <w:p w14:paraId="3FC84A26">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4CA0DE00">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4421F2F7">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7DC11A76">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1760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723045D4">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4A69B2B6">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能够在家属与老年人之间发挥桥梁作用，促进家庭支持系统的完善</w:t>
            </w:r>
          </w:p>
        </w:tc>
        <w:tc>
          <w:tcPr>
            <w:tcW w:w="739" w:type="dxa"/>
            <w:shd w:val="clear" w:color="auto" w:fill="auto"/>
            <w:vAlign w:val="top"/>
          </w:tcPr>
          <w:p w14:paraId="265A8B98">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58615908">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678B8FA0">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44FB7EC3">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1A29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5EBFC41E">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79BA7D57">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能够妥善处理家属的焦虑、误解或过高期待，维护良好的服务关系</w:t>
            </w:r>
          </w:p>
        </w:tc>
        <w:tc>
          <w:tcPr>
            <w:tcW w:w="739" w:type="dxa"/>
            <w:shd w:val="clear" w:color="auto" w:fill="auto"/>
            <w:vAlign w:val="top"/>
          </w:tcPr>
          <w:p w14:paraId="09536F23">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7CE9BAD5">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12C3443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732B97F9">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r w14:paraId="6255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1E3BFC42">
            <w:pPr>
              <w:pStyle w:val="106"/>
              <w:pBdr>
                <w:top w:val="none" w:color="auto" w:sz="0" w:space="0"/>
                <w:left w:val="none" w:color="auto" w:sz="0" w:space="0"/>
                <w:bottom w:val="none" w:color="auto" w:sz="0" w:space="0"/>
                <w:right w:val="none" w:color="auto" w:sz="0" w:space="0"/>
              </w:pBdr>
              <w:rPr>
                <w:rFonts w:hint="eastAsia" w:ascii="宋体" w:hAnsi="宋体" w:eastAsia="宋体" w:cs="宋体"/>
                <w:color w:val="auto"/>
                <w:sz w:val="18"/>
                <w:szCs w:val="18"/>
              </w:rPr>
            </w:pPr>
          </w:p>
        </w:tc>
        <w:tc>
          <w:tcPr>
            <w:tcW w:w="5102" w:type="dxa"/>
            <w:vAlign w:val="top"/>
          </w:tcPr>
          <w:p w14:paraId="0C28ACA8">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r>
              <w:rPr>
                <w:rFonts w:hint="eastAsia" w:ascii="宋体" w:hAnsi="宋体" w:eastAsia="宋体" w:cs="宋体"/>
                <w:color w:val="auto"/>
                <w:sz w:val="18"/>
                <w:szCs w:val="18"/>
              </w:rPr>
              <w:t>能够及时、真实、清楚地反馈老人状态，在发现老人情绪或行为异常时及时与家属沟通</w:t>
            </w:r>
          </w:p>
        </w:tc>
        <w:tc>
          <w:tcPr>
            <w:tcW w:w="739" w:type="dxa"/>
            <w:shd w:val="clear" w:color="auto" w:fill="auto"/>
            <w:vAlign w:val="top"/>
          </w:tcPr>
          <w:p w14:paraId="6438EA92">
            <w:pPr>
              <w:pBdr>
                <w:top w:val="none" w:color="auto" w:sz="0" w:space="0"/>
                <w:left w:val="none" w:color="auto" w:sz="0" w:space="0"/>
                <w:bottom w:val="none" w:color="auto" w:sz="0" w:space="0"/>
                <w:right w:val="none" w:color="auto" w:sz="0" w:space="0"/>
              </w:pBdr>
              <w:ind w:firstLine="0" w:firstLineChars="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w:t>
            </w:r>
          </w:p>
        </w:tc>
        <w:tc>
          <w:tcPr>
            <w:tcW w:w="738" w:type="dxa"/>
          </w:tcPr>
          <w:p w14:paraId="61FD1E2B">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46" w:type="dxa"/>
          </w:tcPr>
          <w:p w14:paraId="0B8B394C">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c>
          <w:tcPr>
            <w:tcW w:w="673" w:type="dxa"/>
          </w:tcPr>
          <w:p w14:paraId="0DBB1724">
            <w:pPr>
              <w:pStyle w:val="106"/>
              <w:pBdr>
                <w:top w:val="none" w:color="auto" w:sz="0" w:space="0"/>
                <w:left w:val="none" w:color="auto" w:sz="0" w:space="0"/>
                <w:bottom w:val="none" w:color="auto" w:sz="0" w:space="0"/>
                <w:right w:val="none" w:color="auto" w:sz="0" w:space="0"/>
              </w:pBdr>
              <w:ind w:firstLine="0" w:firstLineChars="0"/>
              <w:jc w:val="left"/>
              <w:rPr>
                <w:rFonts w:hint="eastAsia" w:ascii="宋体" w:hAnsi="宋体" w:eastAsia="宋体" w:cs="宋体"/>
                <w:color w:val="auto"/>
                <w:sz w:val="18"/>
                <w:szCs w:val="18"/>
              </w:rPr>
            </w:pPr>
          </w:p>
        </w:tc>
      </w:tr>
    </w:tbl>
    <w:p w14:paraId="7E908E7E">
      <w:pPr>
        <w:pStyle w:val="25"/>
      </w:pPr>
    </w:p>
    <w:p w14:paraId="22F71BB0">
      <w:pPr>
        <w:pStyle w:val="71"/>
        <w:pBdr>
          <w:top w:val="none" w:color="auto" w:sz="0" w:space="0"/>
          <w:left w:val="none" w:color="auto" w:sz="0" w:space="0"/>
          <w:bottom w:val="none" w:color="auto" w:sz="0" w:space="0"/>
          <w:right w:val="none" w:color="auto" w:sz="0" w:space="0"/>
        </w:pBdr>
        <w:spacing w:before="312" w:after="312"/>
        <w:rPr>
          <w:rFonts w:hint="eastAsia"/>
          <w:lang w:val="en-US" w:eastAsia="zh-CN"/>
        </w:rPr>
      </w:pPr>
      <w:bookmarkStart w:id="70" w:name="_Toc994"/>
      <w:r>
        <w:rPr>
          <w:rFonts w:hint="eastAsia"/>
          <w:lang w:val="en-US" w:eastAsia="zh-CN"/>
        </w:rPr>
        <w:t>综合评分汇总表</w:t>
      </w:r>
      <w:bookmarkEnd w:id="70"/>
    </w:p>
    <w:p w14:paraId="22060BF7">
      <w:pPr>
        <w:pStyle w:val="108"/>
        <w:pBdr>
          <w:top w:val="none" w:color="auto" w:sz="0" w:space="0"/>
          <w:left w:val="none" w:color="auto" w:sz="0" w:space="0"/>
          <w:bottom w:val="none" w:color="auto" w:sz="0" w:space="0"/>
          <w:right w:val="none" w:color="auto" w:sz="0" w:space="0"/>
        </w:pBdr>
        <w:spacing w:before="156" w:after="156"/>
        <w:rPr>
          <w:rFonts w:hint="eastAsia"/>
          <w:lang w:val="en-US" w:eastAsia="zh-CN"/>
        </w:rPr>
      </w:pPr>
      <w:r>
        <w:rPr>
          <w:rFonts w:hint="eastAsia"/>
          <w:lang w:val="en-US" w:eastAsia="zh-CN"/>
        </w:rPr>
        <w:t>综合评分汇总表</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9"/>
        <w:gridCol w:w="3023"/>
        <w:gridCol w:w="3020"/>
      </w:tblGrid>
      <w:tr w14:paraId="1E1F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6DB50D1B">
            <w:pPr>
              <w:pStyle w:val="120"/>
              <w:pBdr>
                <w:top w:val="none" w:color="auto" w:sz="0" w:space="0"/>
                <w:left w:val="none" w:color="auto" w:sz="0" w:space="0"/>
                <w:bottom w:val="none" w:color="auto" w:sz="0" w:space="0"/>
                <w:right w:val="none" w:color="auto" w:sz="0" w:space="0"/>
              </w:pBdr>
              <w:jc w:val="center"/>
              <w:rPr>
                <w:szCs w:val="18"/>
              </w:rPr>
            </w:pPr>
            <w:r>
              <w:rPr>
                <w:szCs w:val="18"/>
              </w:rPr>
              <w:t>一级指标</w:t>
            </w:r>
          </w:p>
        </w:tc>
        <w:tc>
          <w:tcPr>
            <w:tcW w:w="3023" w:type="dxa"/>
          </w:tcPr>
          <w:p w14:paraId="1BE50BDE">
            <w:pPr>
              <w:pStyle w:val="120"/>
              <w:pBdr>
                <w:top w:val="none" w:color="auto" w:sz="0" w:space="0"/>
                <w:left w:val="none" w:color="auto" w:sz="0" w:space="0"/>
                <w:bottom w:val="none" w:color="auto" w:sz="0" w:space="0"/>
                <w:right w:val="none" w:color="auto" w:sz="0" w:space="0"/>
              </w:pBdr>
              <w:jc w:val="center"/>
              <w:rPr>
                <w:szCs w:val="18"/>
              </w:rPr>
            </w:pPr>
            <w:r>
              <w:rPr>
                <w:szCs w:val="18"/>
              </w:rPr>
              <w:t>满分</w:t>
            </w:r>
          </w:p>
        </w:tc>
        <w:tc>
          <w:tcPr>
            <w:tcW w:w="3020" w:type="dxa"/>
          </w:tcPr>
          <w:p w14:paraId="10DC97BD">
            <w:pPr>
              <w:pStyle w:val="120"/>
              <w:pBdr>
                <w:top w:val="none" w:color="auto" w:sz="0" w:space="0"/>
                <w:left w:val="none" w:color="auto" w:sz="0" w:space="0"/>
                <w:bottom w:val="none" w:color="auto" w:sz="0" w:space="0"/>
                <w:right w:val="none" w:color="auto" w:sz="0" w:space="0"/>
              </w:pBdr>
              <w:jc w:val="center"/>
              <w:rPr>
                <w:szCs w:val="18"/>
              </w:rPr>
            </w:pPr>
            <w:r>
              <w:rPr>
                <w:szCs w:val="18"/>
              </w:rPr>
              <w:t>得分</w:t>
            </w:r>
          </w:p>
        </w:tc>
      </w:tr>
      <w:tr w14:paraId="5D7E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00D97272">
            <w:pPr>
              <w:pStyle w:val="120"/>
              <w:pBdr>
                <w:top w:val="none" w:color="auto" w:sz="0" w:space="0"/>
                <w:left w:val="none" w:color="auto" w:sz="0" w:space="0"/>
                <w:bottom w:val="none" w:color="auto" w:sz="0" w:space="0"/>
                <w:right w:val="none" w:color="auto" w:sz="0" w:space="0"/>
              </w:pBdr>
              <w:jc w:val="center"/>
              <w:rPr>
                <w:szCs w:val="18"/>
              </w:rPr>
            </w:pPr>
            <w:r>
              <w:rPr>
                <w:szCs w:val="18"/>
              </w:rPr>
              <w:t>基础能力</w:t>
            </w:r>
          </w:p>
        </w:tc>
        <w:tc>
          <w:tcPr>
            <w:tcW w:w="3023" w:type="dxa"/>
          </w:tcPr>
          <w:p w14:paraId="62924418">
            <w:pPr>
              <w:pStyle w:val="120"/>
              <w:pBdr>
                <w:top w:val="none" w:color="auto" w:sz="0" w:space="0"/>
                <w:left w:val="none" w:color="auto" w:sz="0" w:space="0"/>
                <w:bottom w:val="none" w:color="auto" w:sz="0" w:space="0"/>
                <w:right w:val="none" w:color="auto" w:sz="0" w:space="0"/>
              </w:pBdr>
              <w:jc w:val="center"/>
              <w:rPr>
                <w:szCs w:val="18"/>
              </w:rPr>
            </w:pPr>
            <w:r>
              <w:rPr>
                <w:szCs w:val="18"/>
              </w:rPr>
              <w:t>30</w:t>
            </w:r>
          </w:p>
        </w:tc>
        <w:tc>
          <w:tcPr>
            <w:tcW w:w="3020" w:type="dxa"/>
          </w:tcPr>
          <w:p w14:paraId="4FAA2C05">
            <w:pPr>
              <w:pStyle w:val="120"/>
              <w:pBdr>
                <w:top w:val="none" w:color="auto" w:sz="0" w:space="0"/>
                <w:left w:val="none" w:color="auto" w:sz="0" w:space="0"/>
                <w:bottom w:val="none" w:color="auto" w:sz="0" w:space="0"/>
                <w:right w:val="none" w:color="auto" w:sz="0" w:space="0"/>
              </w:pBdr>
              <w:jc w:val="center"/>
              <w:rPr>
                <w:szCs w:val="18"/>
              </w:rPr>
            </w:pPr>
          </w:p>
        </w:tc>
      </w:tr>
      <w:tr w14:paraId="578E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687E0059">
            <w:pPr>
              <w:pStyle w:val="120"/>
              <w:pBdr>
                <w:top w:val="none" w:color="auto" w:sz="0" w:space="0"/>
                <w:left w:val="none" w:color="auto" w:sz="0" w:space="0"/>
                <w:bottom w:val="none" w:color="auto" w:sz="0" w:space="0"/>
                <w:right w:val="none" w:color="auto" w:sz="0" w:space="0"/>
              </w:pBdr>
              <w:jc w:val="center"/>
              <w:rPr>
                <w:szCs w:val="18"/>
              </w:rPr>
            </w:pPr>
            <w:r>
              <w:rPr>
                <w:szCs w:val="18"/>
              </w:rPr>
              <w:t>专项能力</w:t>
            </w:r>
          </w:p>
        </w:tc>
        <w:tc>
          <w:tcPr>
            <w:tcW w:w="3023" w:type="dxa"/>
          </w:tcPr>
          <w:p w14:paraId="42BC748E">
            <w:pPr>
              <w:pStyle w:val="120"/>
              <w:pBdr>
                <w:top w:val="none" w:color="auto" w:sz="0" w:space="0"/>
                <w:left w:val="none" w:color="auto" w:sz="0" w:space="0"/>
                <w:bottom w:val="none" w:color="auto" w:sz="0" w:space="0"/>
                <w:right w:val="none" w:color="auto" w:sz="0" w:space="0"/>
              </w:pBdr>
              <w:jc w:val="center"/>
              <w:rPr>
                <w:szCs w:val="18"/>
              </w:rPr>
            </w:pPr>
            <w:r>
              <w:rPr>
                <w:szCs w:val="18"/>
              </w:rPr>
              <w:t>40</w:t>
            </w:r>
          </w:p>
        </w:tc>
        <w:tc>
          <w:tcPr>
            <w:tcW w:w="3020" w:type="dxa"/>
          </w:tcPr>
          <w:p w14:paraId="2E0D3630">
            <w:pPr>
              <w:pStyle w:val="120"/>
              <w:pBdr>
                <w:top w:val="none" w:color="auto" w:sz="0" w:space="0"/>
                <w:left w:val="none" w:color="auto" w:sz="0" w:space="0"/>
                <w:bottom w:val="none" w:color="auto" w:sz="0" w:space="0"/>
                <w:right w:val="none" w:color="auto" w:sz="0" w:space="0"/>
              </w:pBdr>
              <w:jc w:val="center"/>
              <w:rPr>
                <w:szCs w:val="18"/>
              </w:rPr>
            </w:pPr>
          </w:p>
        </w:tc>
      </w:tr>
      <w:tr w14:paraId="36FC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1E14AE46">
            <w:pPr>
              <w:pStyle w:val="120"/>
              <w:pBdr>
                <w:top w:val="none" w:color="auto" w:sz="0" w:space="0"/>
                <w:left w:val="none" w:color="auto" w:sz="0" w:space="0"/>
                <w:bottom w:val="none" w:color="auto" w:sz="0" w:space="0"/>
                <w:right w:val="none" w:color="auto" w:sz="0" w:space="0"/>
              </w:pBdr>
              <w:jc w:val="center"/>
              <w:rPr>
                <w:szCs w:val="18"/>
              </w:rPr>
            </w:pPr>
            <w:r>
              <w:rPr>
                <w:szCs w:val="18"/>
              </w:rPr>
              <w:t>职业素养</w:t>
            </w:r>
          </w:p>
        </w:tc>
        <w:tc>
          <w:tcPr>
            <w:tcW w:w="3023" w:type="dxa"/>
          </w:tcPr>
          <w:p w14:paraId="56EEF433">
            <w:pPr>
              <w:pStyle w:val="120"/>
              <w:pBdr>
                <w:top w:val="none" w:color="auto" w:sz="0" w:space="0"/>
                <w:left w:val="none" w:color="auto" w:sz="0" w:space="0"/>
                <w:bottom w:val="none" w:color="auto" w:sz="0" w:space="0"/>
                <w:right w:val="none" w:color="auto" w:sz="0" w:space="0"/>
              </w:pBdr>
              <w:jc w:val="center"/>
              <w:rPr>
                <w:szCs w:val="18"/>
              </w:rPr>
            </w:pPr>
            <w:r>
              <w:rPr>
                <w:szCs w:val="18"/>
              </w:rPr>
              <w:t>20</w:t>
            </w:r>
          </w:p>
        </w:tc>
        <w:tc>
          <w:tcPr>
            <w:tcW w:w="3020" w:type="dxa"/>
          </w:tcPr>
          <w:p w14:paraId="796D2267">
            <w:pPr>
              <w:pStyle w:val="120"/>
              <w:pBdr>
                <w:top w:val="none" w:color="auto" w:sz="0" w:space="0"/>
                <w:left w:val="none" w:color="auto" w:sz="0" w:space="0"/>
                <w:bottom w:val="none" w:color="auto" w:sz="0" w:space="0"/>
                <w:right w:val="none" w:color="auto" w:sz="0" w:space="0"/>
              </w:pBdr>
              <w:jc w:val="center"/>
              <w:rPr>
                <w:szCs w:val="18"/>
              </w:rPr>
            </w:pPr>
          </w:p>
        </w:tc>
      </w:tr>
      <w:tr w14:paraId="76C3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393827ED">
            <w:pPr>
              <w:pStyle w:val="120"/>
              <w:pBdr>
                <w:top w:val="none" w:color="auto" w:sz="0" w:space="0"/>
                <w:left w:val="none" w:color="auto" w:sz="0" w:space="0"/>
                <w:bottom w:val="none" w:color="auto" w:sz="0" w:space="0"/>
                <w:right w:val="none" w:color="auto" w:sz="0" w:space="0"/>
              </w:pBdr>
              <w:jc w:val="center"/>
              <w:rPr>
                <w:szCs w:val="18"/>
              </w:rPr>
            </w:pPr>
            <w:r>
              <w:rPr>
                <w:szCs w:val="18"/>
              </w:rPr>
              <w:t>综合能力</w:t>
            </w:r>
          </w:p>
        </w:tc>
        <w:tc>
          <w:tcPr>
            <w:tcW w:w="3023" w:type="dxa"/>
          </w:tcPr>
          <w:p w14:paraId="1F3C5BC8">
            <w:pPr>
              <w:pStyle w:val="120"/>
              <w:pBdr>
                <w:top w:val="none" w:color="auto" w:sz="0" w:space="0"/>
                <w:left w:val="none" w:color="auto" w:sz="0" w:space="0"/>
                <w:bottom w:val="none" w:color="auto" w:sz="0" w:space="0"/>
                <w:right w:val="none" w:color="auto" w:sz="0" w:space="0"/>
              </w:pBdr>
              <w:jc w:val="center"/>
              <w:rPr>
                <w:szCs w:val="18"/>
              </w:rPr>
            </w:pPr>
            <w:r>
              <w:rPr>
                <w:szCs w:val="18"/>
              </w:rPr>
              <w:t>10</w:t>
            </w:r>
          </w:p>
        </w:tc>
        <w:tc>
          <w:tcPr>
            <w:tcW w:w="3020" w:type="dxa"/>
          </w:tcPr>
          <w:p w14:paraId="67F71ADA">
            <w:pPr>
              <w:pStyle w:val="120"/>
              <w:pBdr>
                <w:top w:val="none" w:color="auto" w:sz="0" w:space="0"/>
                <w:left w:val="none" w:color="auto" w:sz="0" w:space="0"/>
                <w:bottom w:val="none" w:color="auto" w:sz="0" w:space="0"/>
                <w:right w:val="none" w:color="auto" w:sz="0" w:space="0"/>
              </w:pBdr>
              <w:jc w:val="center"/>
              <w:rPr>
                <w:szCs w:val="18"/>
              </w:rPr>
            </w:pPr>
          </w:p>
        </w:tc>
      </w:tr>
      <w:tr w14:paraId="6AE1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55BE38E9">
            <w:pPr>
              <w:pStyle w:val="120"/>
              <w:pBdr>
                <w:top w:val="none" w:color="auto" w:sz="0" w:space="0"/>
                <w:left w:val="none" w:color="auto" w:sz="0" w:space="0"/>
                <w:bottom w:val="none" w:color="auto" w:sz="0" w:space="0"/>
                <w:right w:val="none" w:color="auto" w:sz="0" w:space="0"/>
              </w:pBdr>
              <w:jc w:val="center"/>
              <w:rPr>
                <w:szCs w:val="18"/>
              </w:rPr>
            </w:pPr>
            <w:r>
              <w:rPr>
                <w:szCs w:val="18"/>
              </w:rPr>
              <w:t>综合评分</w:t>
            </w:r>
          </w:p>
        </w:tc>
        <w:tc>
          <w:tcPr>
            <w:tcW w:w="3023" w:type="dxa"/>
          </w:tcPr>
          <w:p w14:paraId="73C82DB3">
            <w:pPr>
              <w:pStyle w:val="120"/>
              <w:pBdr>
                <w:top w:val="none" w:color="auto" w:sz="0" w:space="0"/>
                <w:left w:val="none" w:color="auto" w:sz="0" w:space="0"/>
                <w:bottom w:val="none" w:color="auto" w:sz="0" w:space="0"/>
                <w:right w:val="none" w:color="auto" w:sz="0" w:space="0"/>
              </w:pBdr>
              <w:jc w:val="center"/>
              <w:rPr>
                <w:szCs w:val="18"/>
              </w:rPr>
            </w:pPr>
            <w:r>
              <w:rPr>
                <w:szCs w:val="18"/>
              </w:rPr>
              <w:t>100</w:t>
            </w:r>
          </w:p>
        </w:tc>
        <w:tc>
          <w:tcPr>
            <w:tcW w:w="3020" w:type="dxa"/>
          </w:tcPr>
          <w:p w14:paraId="288AA886">
            <w:pPr>
              <w:pStyle w:val="120"/>
              <w:pBdr>
                <w:top w:val="none" w:color="auto" w:sz="0" w:space="0"/>
                <w:left w:val="none" w:color="auto" w:sz="0" w:space="0"/>
                <w:bottom w:val="none" w:color="auto" w:sz="0" w:space="0"/>
                <w:right w:val="none" w:color="auto" w:sz="0" w:space="0"/>
              </w:pBdr>
              <w:jc w:val="center"/>
              <w:rPr>
                <w:szCs w:val="18"/>
              </w:rPr>
            </w:pPr>
          </w:p>
        </w:tc>
      </w:tr>
      <w:tr w14:paraId="6BC3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178FBB70">
            <w:pPr>
              <w:pStyle w:val="120"/>
              <w:pBdr>
                <w:top w:val="none" w:color="auto" w:sz="0" w:space="0"/>
                <w:left w:val="none" w:color="auto" w:sz="0" w:space="0"/>
                <w:bottom w:val="none" w:color="auto" w:sz="0" w:space="0"/>
                <w:right w:val="none" w:color="auto" w:sz="0" w:space="0"/>
              </w:pBdr>
              <w:jc w:val="center"/>
              <w:rPr>
                <w:szCs w:val="18"/>
              </w:rPr>
            </w:pPr>
            <w:r>
              <w:rPr>
                <w:szCs w:val="18"/>
              </w:rPr>
              <w:t>评价等级</w:t>
            </w:r>
          </w:p>
        </w:tc>
        <w:tc>
          <w:tcPr>
            <w:tcW w:w="6043" w:type="dxa"/>
            <w:gridSpan w:val="2"/>
          </w:tcPr>
          <w:p w14:paraId="0BEC6A00">
            <w:pPr>
              <w:pStyle w:val="120"/>
              <w:pBdr>
                <w:top w:val="none" w:color="auto" w:sz="0" w:space="0"/>
                <w:left w:val="none" w:color="auto" w:sz="0" w:space="0"/>
                <w:bottom w:val="none" w:color="auto" w:sz="0" w:space="0"/>
                <w:right w:val="none" w:color="auto" w:sz="0" w:space="0"/>
              </w:pBdr>
              <w:jc w:val="center"/>
              <w:rPr>
                <w:szCs w:val="18"/>
              </w:rPr>
            </w:pPr>
          </w:p>
        </w:tc>
      </w:tr>
      <w:tr w14:paraId="0380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gridSpan w:val="3"/>
          </w:tcPr>
          <w:p w14:paraId="39D109B4">
            <w:pPr>
              <w:pStyle w:val="120"/>
              <w:pBdr>
                <w:top w:val="none" w:color="auto" w:sz="0" w:space="0"/>
                <w:left w:val="none" w:color="auto" w:sz="0" w:space="0"/>
                <w:bottom w:val="none" w:color="auto" w:sz="0" w:space="0"/>
                <w:right w:val="none" w:color="auto" w:sz="0" w:space="0"/>
              </w:pBdr>
              <w:rPr>
                <w:szCs w:val="18"/>
              </w:rPr>
            </w:pPr>
            <w:r>
              <w:rPr>
                <w:szCs w:val="18"/>
              </w:rPr>
              <w:t>注：评价等级按5.6.4确定：优秀（90分及以上）、良好（80分～89分）、合格（60分～79分）、不合格（60分以下）。</w:t>
            </w:r>
          </w:p>
        </w:tc>
      </w:tr>
      <w:bookmarkEnd w:id="67"/>
    </w:tbl>
    <w:p w14:paraId="5503C4CF">
      <w:pPr>
        <w:pStyle w:val="25"/>
        <w:ind w:left="0" w:leftChars="0" w:firstLine="0" w:firstLineChars="0"/>
      </w:pPr>
    </w:p>
    <w:p w14:paraId="6A3DF2CB">
      <w:pPr>
        <w:pStyle w:val="98"/>
        <w:pBdr>
          <w:top w:val="none" w:color="auto" w:sz="0" w:space="0"/>
          <w:left w:val="none" w:color="auto" w:sz="0" w:space="0"/>
          <w:bottom w:val="none" w:color="auto" w:sz="0" w:space="0"/>
          <w:right w:val="none" w:color="auto" w:sz="0" w:space="0"/>
        </w:pBdr>
      </w:pPr>
      <w:bookmarkStart w:id="71" w:name="_Toc13339"/>
      <w:r>
        <w:t>参 考 文 献</w:t>
      </w:r>
      <w:bookmarkEnd w:id="62"/>
      <w:bookmarkEnd w:id="71"/>
    </w:p>
    <w:p w14:paraId="3D81FD7A">
      <w:pPr>
        <w:pStyle w:val="25"/>
        <w:bidi w:val="0"/>
      </w:pPr>
      <w:r>
        <w:rPr>
          <w:rFonts w:hint="default"/>
        </w:rPr>
        <w:t>[</w:t>
      </w:r>
      <w:r>
        <w:rPr>
          <w:rFonts w:hint="eastAsia"/>
          <w:lang w:val="en-US" w:eastAsia="zh-CN"/>
        </w:rPr>
        <w:t>1</w:t>
      </w:r>
      <w:r>
        <w:rPr>
          <w:rFonts w:hint="default"/>
        </w:rPr>
        <w:t>] 中华人民共和国个人信息保护法[Z]. 2021.</w:t>
      </w:r>
    </w:p>
    <w:p w14:paraId="5917BAFC">
      <w:pPr>
        <w:pStyle w:val="25"/>
        <w:bidi w:val="0"/>
        <w:rPr>
          <w:rFonts w:hint="default"/>
        </w:rPr>
      </w:pPr>
      <w:r>
        <w:rPr>
          <w:rFonts w:hint="default"/>
        </w:rPr>
        <w:t>[</w:t>
      </w:r>
      <w:r>
        <w:rPr>
          <w:rFonts w:hint="eastAsia"/>
          <w:lang w:val="en-US" w:eastAsia="zh-CN"/>
        </w:rPr>
        <w:t>2</w:t>
      </w:r>
      <w:r>
        <w:rPr>
          <w:rFonts w:hint="default"/>
        </w:rPr>
        <w:t>] 中华人民共和国数据安全法[Z]. 2021.</w:t>
      </w:r>
    </w:p>
    <w:p w14:paraId="6D5B72F2">
      <w:pPr>
        <w:pStyle w:val="25"/>
        <w:bidi w:val="0"/>
        <w:rPr>
          <w:rFonts w:hint="default"/>
        </w:rPr>
      </w:pPr>
      <w:r>
        <w:rPr>
          <w:rFonts w:hint="default"/>
        </w:rPr>
        <w:t>[</w:t>
      </w:r>
      <w:r>
        <w:rPr>
          <w:rFonts w:hint="eastAsia"/>
          <w:lang w:val="en-US" w:eastAsia="zh-CN"/>
        </w:rPr>
        <w:t>3</w:t>
      </w:r>
      <w:r>
        <w:rPr>
          <w:rFonts w:hint="default"/>
        </w:rPr>
        <w:t>] 中华人民共和国精神卫生法[Z]. 2018.</w:t>
      </w:r>
    </w:p>
    <w:p w14:paraId="7A954F66">
      <w:pPr>
        <w:pStyle w:val="25"/>
        <w:bidi w:val="0"/>
        <w:rPr>
          <w:rFonts w:hint="default"/>
        </w:rPr>
      </w:pPr>
      <w:r>
        <w:rPr>
          <w:rFonts w:hint="default"/>
        </w:rPr>
        <w:t>[</w:t>
      </w:r>
      <w:r>
        <w:rPr>
          <w:rFonts w:hint="eastAsia"/>
          <w:lang w:val="en-US" w:eastAsia="zh-CN"/>
        </w:rPr>
        <w:t>4</w:t>
      </w:r>
      <w:r>
        <w:rPr>
          <w:rFonts w:hint="default"/>
        </w:rPr>
        <w:t>] 中华人民共和国老年人权益保障法[Z]. 2018.</w:t>
      </w:r>
    </w:p>
    <w:p w14:paraId="3EE1BBCD">
      <w:pPr>
        <w:pStyle w:val="25"/>
        <w:bidi w:val="0"/>
        <w:rPr>
          <w:rFonts w:hint="default"/>
        </w:rPr>
      </w:pPr>
      <w:r>
        <w:rPr>
          <w:rFonts w:hint="default"/>
        </w:rPr>
        <w:t>[</w:t>
      </w:r>
      <w:r>
        <w:rPr>
          <w:rFonts w:hint="eastAsia"/>
          <w:lang w:val="en-US" w:eastAsia="zh-CN"/>
        </w:rPr>
        <w:t>5</w:t>
      </w:r>
      <w:r>
        <w:rPr>
          <w:rFonts w:hint="default"/>
        </w:rPr>
        <w:t>] 中华人民共和国职业教育法[Z]. 2022.</w:t>
      </w:r>
    </w:p>
    <w:p w14:paraId="2D7895FF">
      <w:pPr>
        <w:pStyle w:val="47"/>
        <w:numPr>
          <w:ilvl w:val="3"/>
          <w:numId w:val="0"/>
        </w:numPr>
        <w:rPr>
          <w:rFonts w:hint="eastAsia"/>
          <w:lang w:val="en-US" w:eastAsia="zh-CN"/>
        </w:rPr>
      </w:pPr>
    </w:p>
    <w:p w14:paraId="0DCF2A50">
      <w:pPr>
        <w:pStyle w:val="47"/>
        <w:numPr>
          <w:ilvl w:val="3"/>
          <w:numId w:val="0"/>
        </w:numPr>
        <w:rPr>
          <w:rFonts w:hint="eastAsia"/>
        </w:rPr>
      </w:pPr>
    </w:p>
    <w:p w14:paraId="31356B99">
      <w:pPr>
        <w:pStyle w:val="141"/>
        <w:framePr w:wrap="around"/>
      </w:pPr>
      <w:r>
        <w:t>_________________________________</w:t>
      </w:r>
      <w:bookmarkEnd w:id="37"/>
    </w:p>
    <w:sectPr>
      <w:headerReference r:id="rId8" w:type="default"/>
      <w:footerReference r:id="rId9" w:type="default"/>
      <w:footerReference r:id="rId10" w:type="even"/>
      <w:pgSz w:w="11906" w:h="16838"/>
      <w:pgMar w:top="567" w:right="1416" w:bottom="1134" w:left="1418" w:header="1418" w:footer="1134" w:gutter="0"/>
      <w:pgNumType w:start="1"/>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ongti SC Blac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1AE18">
    <w:pPr>
      <w:pStyle w:val="94"/>
      <w:jc w:val="right"/>
    </w:pPr>
    <w:r>
      <w:fldChar w:fldCharType="begin"/>
    </w:r>
    <w:r>
      <w:instrText xml:space="preserve"> PAGE  \* MERGEFORMAT </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EF085">
    <w:pPr>
      <w:pStyle w:val="78"/>
    </w:pPr>
    <w: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E207F">
                          <w:pPr>
                            <w:pStyle w:val="7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A1E207F">
                    <w:pPr>
                      <w:pStyle w:val="7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D151F">
    <w:pPr>
      <w:pStyle w:val="94"/>
      <w:jc w:val="right"/>
    </w:pPr>
    <w:r>
      <w:fldChar w:fldCharType="begin"/>
    </w:r>
    <w:r>
      <w:instrText xml:space="preserve"> PAGE  \* MERGEFORMAT </w:instrText>
    </w:r>
    <w:r>
      <w:fldChar w:fldCharType="separate"/>
    </w:r>
    <w: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3E2F0">
    <w:pPr>
      <w:pStyle w:val="19"/>
    </w:pP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31BC5">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0DA31BC5">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DDA9B">
    <w:pPr>
      <w:pStyle w:val="94"/>
      <w:ind w:left="0"/>
    </w:pPr>
    <w:r>
      <mc:AlternateContent>
        <mc:Choice Requires="wps">
          <w:drawing>
            <wp:anchor distT="0" distB="0" distL="114300" distR="114300" simplePos="0" relativeHeight="251666432" behindDoc="0" locked="0" layoutInCell="1" allowOverlap="1">
              <wp:simplePos x="0" y="0"/>
              <wp:positionH relativeFrom="margin">
                <wp:posOffset>0</wp:posOffset>
              </wp:positionH>
              <wp:positionV relativeFrom="paragraph">
                <wp:posOffset>0</wp:posOffset>
              </wp:positionV>
              <wp:extent cx="259715" cy="13779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5971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9E2DE6">
                          <w:pPr>
                            <w:pStyle w:val="1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0pt;height:10.85pt;width:20.45pt;mso-position-horizontal-relative:margin;z-index:251666432;mso-width-relative:page;mso-height-relative:page;" filled="f" stroked="f" coordsize="21600,21600" o:gfxdata="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ORPmnTAAAAAwEAAA8AAAAAAAAAAQAgAAAAIgAAAGRycy9kb3ducmV2LnhtbFBL&#10;AQIUABQAAAAIAIdO4kDyXln2NAIAAFcEAAAOAAAAAAAAAAEAIAAAACIBAABkcnMvZTJvRG9jLnht&#10;bFBLBQYAAAAABgAGAFkBAADIBQAAAAA=&#10;">
              <v:fill on="f" focussize="0,0"/>
              <v:stroke on="f" weight="0.5pt"/>
              <v:imagedata o:title=""/>
              <o:lock v:ext="edit" aspectratio="f"/>
              <v:textbox inset="0mm,0mm,0mm,0mm">
                <w:txbxContent>
                  <w:p w14:paraId="019E2DE6">
                    <w:pPr>
                      <w:pStyle w:val="19"/>
                    </w:pPr>
                    <w:r>
                      <w:fldChar w:fldCharType="begin"/>
                    </w:r>
                    <w:r>
                      <w:instrText xml:space="preserve"> PAGE  \* MERGEFORMAT </w:instrText>
                    </w:r>
                    <w:r>
                      <w:fldChar w:fldCharType="separate"/>
                    </w:r>
                    <w:r>
                      <w:t>6</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D8584">
                          <w:pPr>
                            <w:pStyle w:val="19"/>
                            <w:jc w:val="cen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19DD8584">
                    <w:pPr>
                      <w:pStyle w:val="19"/>
                      <w:jc w:val="cente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76F7A0">
                          <w:pPr>
                            <w:pStyle w:val="9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5D76F7A0">
                    <w:pPr>
                      <w:pStyle w:val="94"/>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79456">
    <w:pPr>
      <w:pStyle w:val="79"/>
      <w:jc w:val="left"/>
      <w:rPr>
        <w:rFonts w:hint="eastAsia" w:hAnsi="黑体"/>
      </w:rPr>
    </w:pPr>
    <w:r>
      <w:rPr>
        <w:rFonts w:hint="eastAsia" w:hAnsi="黑体"/>
      </w:rPr>
      <w:t>T/BAS XXX-202X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44EEC">
    <w:pPr>
      <w:pStyle w:val="79"/>
      <w:ind w:firstLine="1050"/>
      <w:rPr>
        <w:rFonts w:hint="eastAsia" w:hAnsi="黑体"/>
      </w:rPr>
    </w:pPr>
    <w:r>
      <w:rPr>
        <w:rFonts w:hint="eastAsia" w:hAnsi="黑体"/>
      </w:rPr>
      <w:t>T</w:t>
    </w:r>
    <w:r>
      <w:rPr>
        <w:rFonts w:hAnsi="黑体"/>
      </w:rPr>
      <w:t>/</w:t>
    </w:r>
    <w:r>
      <w:rPr>
        <w:rFonts w:hint="eastAsia" w:hAnsi="黑体"/>
      </w:rPr>
      <w:t>BAS</w:t>
    </w:r>
    <w:r>
      <w:rPr>
        <w:rFonts w:hAnsi="黑体"/>
      </w:rPr>
      <w:t xml:space="preserve"> </w:t>
    </w:r>
    <w:r>
      <w:rPr>
        <w:rFonts w:hint="eastAsia" w:hAnsi="黑体"/>
      </w:rPr>
      <w:t>XXX</w:t>
    </w:r>
    <w:r>
      <w:rPr>
        <w:rFonts w:hAnsi="黑体"/>
      </w:rPr>
      <w:t>-20</w:t>
    </w:r>
    <w:r>
      <w:rPr>
        <w:rFonts w:hint="eastAsia" w:hAnsi="黑体"/>
      </w:rPr>
      <w:t>2X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B709A">
    <w:pPr>
      <w:pStyle w:val="79"/>
      <w:ind w:firstLine="1050"/>
      <w:rPr>
        <w:rFonts w:hint="eastAsia" w:hAnsi="黑体"/>
      </w:rPr>
    </w:pPr>
    <w:r>
      <w:rPr>
        <w:rFonts w:hint="eastAsia" w:hAnsi="黑体"/>
      </w:rPr>
      <w:t>T</w:t>
    </w:r>
    <w:r>
      <w:rPr>
        <w:rFonts w:hAnsi="黑体"/>
      </w:rPr>
      <w:t>/</w:t>
    </w:r>
    <w:r>
      <w:rPr>
        <w:rFonts w:hint="eastAsia" w:hAnsi="黑体"/>
      </w:rPr>
      <w:t>BAS</w:t>
    </w:r>
    <w:r>
      <w:rPr>
        <w:rFonts w:hAnsi="黑体"/>
      </w:rPr>
      <w:t xml:space="preserve"> </w:t>
    </w:r>
    <w:r>
      <w:rPr>
        <w:rFonts w:hint="eastAsia" w:hAnsi="黑体"/>
      </w:rPr>
      <w:t>XXX</w:t>
    </w:r>
    <w:r>
      <w:rPr>
        <w:rFonts w:hAnsi="黑体"/>
      </w:rPr>
      <w:t>-20</w:t>
    </w:r>
    <w:r>
      <w:rPr>
        <w:rFonts w:hint="eastAsia" w:hAnsi="黑体"/>
      </w:rPr>
      <w:t>2X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52887"/>
    <w:multiLevelType w:val="multilevel"/>
    <w:tmpl w:val="0A952887"/>
    <w:lvl w:ilvl="0" w:tentative="0">
      <w:start w:val="1"/>
      <w:numFmt w:val="decimal"/>
      <w:pStyle w:val="91"/>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
    <w:nsid w:val="0F805D97"/>
    <w:multiLevelType w:val="multilevel"/>
    <w:tmpl w:val="0F805D97"/>
    <w:lvl w:ilvl="0" w:tentative="0">
      <w:start w:val="1"/>
      <w:numFmt w:val="none"/>
      <w:pStyle w:val="86"/>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
    <w:nsid w:val="1FC91163"/>
    <w:multiLevelType w:val="multilevel"/>
    <w:tmpl w:val="1FC91163"/>
    <w:lvl w:ilvl="0" w:tentative="0">
      <w:start w:val="1"/>
      <w:numFmt w:val="decimal"/>
      <w:pStyle w:val="57"/>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6"/>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58"/>
      <w:suff w:val="nothing"/>
      <w:lvlText w:val="%1.%2.%3　"/>
      <w:lvlJc w:val="left"/>
      <w:pPr>
        <w:ind w:left="0" w:firstLine="0"/>
      </w:pPr>
      <w:rPr>
        <w:rFonts w:hint="eastAsia" w:ascii="黑体" w:hAnsi="Times New Roman" w:eastAsia="黑体"/>
        <w:b w:val="0"/>
        <w:i w:val="0"/>
        <w:sz w:val="21"/>
      </w:rPr>
    </w:lvl>
    <w:lvl w:ilvl="3" w:tentative="0">
      <w:start w:val="1"/>
      <w:numFmt w:val="decimal"/>
      <w:pStyle w:val="59"/>
      <w:suff w:val="nothing"/>
      <w:lvlText w:val="%1.%2.%3.%4　"/>
      <w:lvlJc w:val="left"/>
      <w:pPr>
        <w:ind w:left="0" w:firstLine="0"/>
      </w:pPr>
      <w:rPr>
        <w:rFonts w:hint="eastAsia" w:ascii="黑体" w:hAnsi="Times New Roman" w:eastAsia="黑体"/>
        <w:b w:val="0"/>
        <w:i w:val="0"/>
        <w:sz w:val="21"/>
      </w:rPr>
    </w:lvl>
    <w:lvl w:ilvl="4" w:tentative="0">
      <w:start w:val="1"/>
      <w:numFmt w:val="decimal"/>
      <w:pStyle w:val="60"/>
      <w:suff w:val="nothing"/>
      <w:lvlText w:val="%1.%2.%3.%4.%5　"/>
      <w:lvlJc w:val="left"/>
      <w:pPr>
        <w:ind w:left="0" w:firstLine="0"/>
      </w:pPr>
      <w:rPr>
        <w:rFonts w:hint="eastAsia" w:ascii="黑体" w:hAnsi="Times New Roman" w:eastAsia="黑体"/>
        <w:b w:val="0"/>
        <w:i w:val="0"/>
        <w:sz w:val="21"/>
      </w:rPr>
    </w:lvl>
    <w:lvl w:ilvl="5" w:tentative="0">
      <w:start w:val="1"/>
      <w:numFmt w:val="decimal"/>
      <w:pStyle w:val="61"/>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4B435DB"/>
    <w:multiLevelType w:val="multilevel"/>
    <w:tmpl w:val="24B435DB"/>
    <w:lvl w:ilvl="0" w:tentative="0">
      <w:start w:val="1"/>
      <w:numFmt w:val="lowerLetter"/>
      <w:pStyle w:val="134"/>
      <w:suff w:val="nothing"/>
      <w:lvlText w:val="%1   "/>
      <w:lvlJc w:val="left"/>
      <w:pPr>
        <w:ind w:left="544" w:hanging="181"/>
      </w:pPr>
      <w:rPr>
        <w:rFonts w:hint="eastAsia" w:ascii="宋体" w:hAns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29707437"/>
    <w:multiLevelType w:val="multilevel"/>
    <w:tmpl w:val="29707437"/>
    <w:lvl w:ilvl="0" w:tentative="0">
      <w:start w:val="1"/>
      <w:numFmt w:val="none"/>
      <w:pStyle w:val="90"/>
      <w:suff w:val="nothing"/>
      <w:lvlText w:val="%1注："/>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2A8F7113"/>
    <w:multiLevelType w:val="multilevel"/>
    <w:tmpl w:val="2A8F7113"/>
    <w:lvl w:ilvl="0" w:tentative="0">
      <w:start w:val="1"/>
      <w:numFmt w:val="upperLetter"/>
      <w:pStyle w:val="116"/>
      <w:suff w:val="space"/>
      <w:lvlText w:val="%1"/>
      <w:lvlJc w:val="left"/>
      <w:pPr>
        <w:ind w:left="623" w:hanging="425"/>
      </w:pPr>
      <w:rPr>
        <w:rFonts w:hint="eastAsia"/>
      </w:rPr>
    </w:lvl>
    <w:lvl w:ilvl="1" w:tentative="0">
      <w:start w:val="1"/>
      <w:numFmt w:val="decimal"/>
      <w:pStyle w:val="117"/>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6">
    <w:nsid w:val="2C5917C3"/>
    <w:multiLevelType w:val="multilevel"/>
    <w:tmpl w:val="2C5917C3"/>
    <w:lvl w:ilvl="0" w:tentative="0">
      <w:start w:val="1"/>
      <w:numFmt w:val="none"/>
      <w:pStyle w:val="163"/>
      <w:suff w:val="nothing"/>
      <w:lvlText w:val="%1——"/>
      <w:lvlJc w:val="left"/>
      <w:pPr>
        <w:ind w:left="833" w:hanging="408"/>
      </w:pPr>
      <w:rPr>
        <w:rFonts w:hint="eastAsia"/>
      </w:rPr>
    </w:lvl>
    <w:lvl w:ilvl="1" w:tentative="0">
      <w:start w:val="1"/>
      <w:numFmt w:val="bullet"/>
      <w:pStyle w:val="82"/>
      <w:lvlText w:val=""/>
      <w:lvlJc w:val="left"/>
      <w:pPr>
        <w:tabs>
          <w:tab w:val="left" w:pos="760"/>
        </w:tabs>
        <w:ind w:left="1264" w:hanging="413"/>
      </w:pPr>
      <w:rPr>
        <w:rFonts w:hint="default" w:ascii="Symbol" w:hAnsi="Symbol"/>
        <w:color w:val="auto"/>
      </w:rPr>
    </w:lvl>
    <w:lvl w:ilvl="2" w:tentative="0">
      <w:start w:val="1"/>
      <w:numFmt w:val="bullet"/>
      <w:pStyle w:val="88"/>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
    <w:nsid w:val="36C20950"/>
    <w:multiLevelType w:val="multilevel"/>
    <w:tmpl w:val="36C20950"/>
    <w:lvl w:ilvl="0" w:tentative="0">
      <w:start w:val="1"/>
      <w:numFmt w:val="none"/>
      <w:suff w:val="nothing"/>
      <w:lvlText w:val="%1"/>
      <w:lvlJc w:val="left"/>
      <w:pPr>
        <w:ind w:left="0" w:firstLine="0"/>
      </w:pPr>
      <w:rPr>
        <w:rFonts w:hint="eastAsia"/>
      </w:rPr>
    </w:lvl>
    <w:lvl w:ilvl="1" w:tentative="0">
      <w:start w:val="1"/>
      <w:numFmt w:val="decimal"/>
      <w:pStyle w:val="50"/>
      <w:suff w:val="nothing"/>
      <w:lvlText w:val="%1%2　"/>
      <w:lvlJc w:val="left"/>
      <w:pPr>
        <w:ind w:left="709" w:firstLine="0"/>
      </w:pPr>
      <w:rPr>
        <w:rFonts w:hint="eastAsia" w:ascii="黑体" w:eastAsia="黑体"/>
        <w:b w:val="0"/>
        <w:i w:val="0"/>
        <w:sz w:val="21"/>
      </w:rPr>
    </w:lvl>
    <w:lvl w:ilvl="2" w:tentative="0">
      <w:start w:val="1"/>
      <w:numFmt w:val="decimal"/>
      <w:pStyle w:val="51"/>
      <w:suff w:val="nothing"/>
      <w:lvlText w:val="%1%2.%3　"/>
      <w:lvlJc w:val="left"/>
      <w:pPr>
        <w:ind w:left="368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1985"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3D733618"/>
    <w:multiLevelType w:val="multilevel"/>
    <w:tmpl w:val="3D733618"/>
    <w:lvl w:ilvl="0" w:tentative="0">
      <w:start w:val="1"/>
      <w:numFmt w:val="decimal"/>
      <w:pStyle w:val="26"/>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520F62E9"/>
    <w:multiLevelType w:val="multilevel"/>
    <w:tmpl w:val="520F62E9"/>
    <w:lvl w:ilvl="0" w:tentative="0">
      <w:start w:val="1"/>
      <w:numFmt w:val="decimal"/>
      <w:pStyle w:val="140"/>
      <w:suff w:val="nothing"/>
      <w:lvlText w:val="图%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5E63562F"/>
    <w:multiLevelType w:val="multilevel"/>
    <w:tmpl w:val="5E63562F"/>
    <w:lvl w:ilvl="0" w:tentative="0">
      <w:start w:val="1"/>
      <w:numFmt w:val="decimal"/>
      <w:pStyle w:val="87"/>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1">
    <w:nsid w:val="5EC626C9"/>
    <w:multiLevelType w:val="singleLevel"/>
    <w:tmpl w:val="5EC626C9"/>
    <w:lvl w:ilvl="0" w:tentative="0">
      <w:start w:val="1"/>
      <w:numFmt w:val="decimal"/>
      <w:pStyle w:val="97"/>
      <w:suff w:val="nothing"/>
      <w:lvlText w:val="[%1] "/>
      <w:lvlJc w:val="left"/>
      <w:pPr>
        <w:tabs>
          <w:tab w:val="left" w:pos="0"/>
        </w:tabs>
        <w:ind w:left="0" w:firstLine="420"/>
      </w:pPr>
      <w:rPr>
        <w:rFonts w:hint="default" w:ascii="宋体" w:hAnsi="宋体" w:eastAsia="宋体" w:cs="黑体"/>
      </w:rPr>
    </w:lvl>
  </w:abstractNum>
  <w:abstractNum w:abstractNumId="12">
    <w:nsid w:val="60B55DC2"/>
    <w:multiLevelType w:val="multilevel"/>
    <w:tmpl w:val="60B55DC2"/>
    <w:lvl w:ilvl="0" w:tentative="0">
      <w:start w:val="1"/>
      <w:numFmt w:val="upperLetter"/>
      <w:pStyle w:val="107"/>
      <w:lvlText w:val="%1"/>
      <w:lvlJc w:val="left"/>
      <w:pPr>
        <w:tabs>
          <w:tab w:val="left" w:pos="0"/>
        </w:tabs>
        <w:ind w:left="0" w:hanging="425"/>
      </w:pPr>
      <w:rPr>
        <w:rFonts w:hint="eastAsia"/>
      </w:rPr>
    </w:lvl>
    <w:lvl w:ilvl="1" w:tentative="0">
      <w:start w:val="1"/>
      <w:numFmt w:val="decimal"/>
      <w:pStyle w:val="108"/>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3">
    <w:nsid w:val="63404DBE"/>
    <w:multiLevelType w:val="multilevel"/>
    <w:tmpl w:val="63404DBE"/>
    <w:lvl w:ilvl="0" w:tentative="0">
      <w:start w:val="1"/>
      <w:numFmt w:val="none"/>
      <w:pStyle w:val="84"/>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4">
    <w:nsid w:val="63AF7EBF"/>
    <w:multiLevelType w:val="multilevel"/>
    <w:tmpl w:val="63AF7EBF"/>
    <w:lvl w:ilvl="0" w:tentative="0">
      <w:start w:val="1"/>
      <w:numFmt w:val="decimal"/>
      <w:pStyle w:val="138"/>
      <w:suff w:val="nothing"/>
      <w:lvlText w:val="表%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
    <w:nsid w:val="646260FA"/>
    <w:multiLevelType w:val="multilevel"/>
    <w:tmpl w:val="646260FA"/>
    <w:lvl w:ilvl="0" w:tentative="0">
      <w:start w:val="1"/>
      <w:numFmt w:val="decimal"/>
      <w:pStyle w:val="16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6">
    <w:nsid w:val="657D3FBC"/>
    <w:multiLevelType w:val="multilevel"/>
    <w:tmpl w:val="657D3FBC"/>
    <w:lvl w:ilvl="0" w:tentative="0">
      <w:start w:val="1"/>
      <w:numFmt w:val="upperLetter"/>
      <w:pStyle w:val="70"/>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71"/>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72"/>
      <w:suff w:val="nothing"/>
      <w:lvlText w:val="%1.%2.%3　"/>
      <w:lvlJc w:val="left"/>
      <w:pPr>
        <w:ind w:left="0" w:firstLine="0"/>
      </w:pPr>
      <w:rPr>
        <w:rFonts w:hint="eastAsia" w:ascii="黑体" w:hAnsi="Times New Roman" w:eastAsia="黑体"/>
        <w:b w:val="0"/>
        <w:i w:val="0"/>
        <w:sz w:val="21"/>
      </w:rPr>
    </w:lvl>
    <w:lvl w:ilvl="3" w:tentative="0">
      <w:start w:val="1"/>
      <w:numFmt w:val="decimal"/>
      <w:pStyle w:val="73"/>
      <w:suff w:val="nothing"/>
      <w:lvlText w:val="%1.%2.%3.%4　"/>
      <w:lvlJc w:val="left"/>
      <w:pPr>
        <w:ind w:left="0" w:firstLine="0"/>
      </w:pPr>
      <w:rPr>
        <w:rFonts w:hint="eastAsia" w:ascii="黑体" w:hAnsi="Times New Roman" w:eastAsia="黑体"/>
        <w:b w:val="0"/>
        <w:i w:val="0"/>
        <w:sz w:val="21"/>
      </w:rPr>
    </w:lvl>
    <w:lvl w:ilvl="4" w:tentative="0">
      <w:start w:val="1"/>
      <w:numFmt w:val="decimal"/>
      <w:pStyle w:val="74"/>
      <w:suff w:val="nothing"/>
      <w:lvlText w:val="%1.%2.%3.%4.%5　"/>
      <w:lvlJc w:val="left"/>
      <w:pPr>
        <w:ind w:left="0" w:firstLine="0"/>
      </w:pPr>
      <w:rPr>
        <w:rFonts w:hint="eastAsia" w:ascii="黑体" w:hAnsi="Times New Roman" w:eastAsia="黑体"/>
        <w:b w:val="0"/>
        <w:i w:val="0"/>
        <w:sz w:val="21"/>
      </w:rPr>
    </w:lvl>
    <w:lvl w:ilvl="5" w:tentative="0">
      <w:start w:val="1"/>
      <w:numFmt w:val="decimal"/>
      <w:pStyle w:val="75"/>
      <w:suff w:val="nothing"/>
      <w:lvlText w:val="%1.%2.%3.%4.%5.%6　"/>
      <w:lvlJc w:val="left"/>
      <w:pPr>
        <w:ind w:left="0" w:firstLine="0"/>
      </w:pPr>
      <w:rPr>
        <w:rFonts w:hint="eastAsia" w:ascii="黑体" w:hAnsi="Times New Roman" w:eastAsia="黑体"/>
        <w:b w:val="0"/>
        <w:i w:val="0"/>
        <w:sz w:val="21"/>
      </w:rPr>
    </w:lvl>
    <w:lvl w:ilvl="6" w:tentative="0">
      <w:start w:val="1"/>
      <w:numFmt w:val="decimal"/>
      <w:pStyle w:val="7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7">
    <w:nsid w:val="65CD2EF4"/>
    <w:multiLevelType w:val="multilevel"/>
    <w:tmpl w:val="65CD2EF4"/>
    <w:lvl w:ilvl="0" w:tentative="0">
      <w:start w:val="1"/>
      <w:numFmt w:val="lowerLetter"/>
      <w:pStyle w:val="68"/>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67"/>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69"/>
      <w:suff w:val="space"/>
      <w:lvlText w:val="(%3)"/>
      <w:lvlJc w:val="left"/>
      <w:pPr>
        <w:ind w:left="567" w:firstLine="692"/>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8">
    <w:nsid w:val="6AB870ED"/>
    <w:multiLevelType w:val="multilevel"/>
    <w:tmpl w:val="6AB870ED"/>
    <w:lvl w:ilvl="0" w:tentative="0">
      <w:start w:val="1"/>
      <w:numFmt w:val="decimal"/>
      <w:pStyle w:val="89"/>
      <w:suff w:val="nothing"/>
      <w:lvlText w:val="示例%1："/>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709" w:firstLine="0"/>
      </w:pPr>
      <w:rPr>
        <w:rFonts w:hint="eastAsia" w:ascii="黑体" w:eastAsia="黑体"/>
        <w:b w:val="0"/>
        <w:i w:val="0"/>
        <w:sz w:val="21"/>
      </w:rPr>
    </w:lvl>
    <w:lvl w:ilvl="2" w:tentative="0">
      <w:start w:val="1"/>
      <w:numFmt w:val="decimal"/>
      <w:suff w:val="nothing"/>
      <w:lvlText w:val="%1%2.%3　"/>
      <w:lvlJc w:val="left"/>
      <w:pPr>
        <w:ind w:left="368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48"/>
      <w:suff w:val="nothing"/>
      <w:lvlText w:val="%1%2.%3.%4　"/>
      <w:lvlJc w:val="left"/>
      <w:pPr>
        <w:ind w:left="1985"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0">
    <w:nsid w:val="6D6C07CD"/>
    <w:multiLevelType w:val="multilevel"/>
    <w:tmpl w:val="6D6C07CD"/>
    <w:lvl w:ilvl="0" w:tentative="0">
      <w:start w:val="1"/>
      <w:numFmt w:val="lowerLetter"/>
      <w:lvlText w:val="%1)"/>
      <w:lvlJc w:val="left"/>
      <w:pPr>
        <w:tabs>
          <w:tab w:val="left" w:pos="839"/>
        </w:tabs>
        <w:ind w:left="839" w:hanging="419"/>
      </w:pPr>
      <w:rPr>
        <w:rFonts w:hint="eastAsia" w:ascii="宋体" w:eastAsia="宋体"/>
        <w:b w:val="0"/>
        <w:i w:val="0"/>
        <w:sz w:val="21"/>
      </w:rPr>
    </w:lvl>
    <w:lvl w:ilvl="1" w:tentative="0">
      <w:start w:val="1"/>
      <w:numFmt w:val="decimal"/>
      <w:pStyle w:val="114"/>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8"/>
  </w:num>
  <w:num w:numId="2">
    <w:abstractNumId w:val="19"/>
  </w:num>
  <w:num w:numId="3">
    <w:abstractNumId w:val="7"/>
  </w:num>
  <w:num w:numId="4">
    <w:abstractNumId w:val="2"/>
  </w:num>
  <w:num w:numId="5">
    <w:abstractNumId w:val="17"/>
  </w:num>
  <w:num w:numId="6">
    <w:abstractNumId w:val="16"/>
  </w:num>
  <w:num w:numId="7">
    <w:abstractNumId w:val="6"/>
  </w:num>
  <w:num w:numId="8">
    <w:abstractNumId w:val="13"/>
  </w:num>
  <w:num w:numId="9">
    <w:abstractNumId w:val="1"/>
  </w:num>
  <w:num w:numId="10">
    <w:abstractNumId w:val="10"/>
  </w:num>
  <w:num w:numId="11">
    <w:abstractNumId w:val="18"/>
  </w:num>
  <w:num w:numId="12">
    <w:abstractNumId w:val="4"/>
  </w:num>
  <w:num w:numId="13">
    <w:abstractNumId w:val="0"/>
  </w:num>
  <w:num w:numId="14">
    <w:abstractNumId w:val="11"/>
  </w:num>
  <w:num w:numId="15">
    <w:abstractNumId w:val="12"/>
  </w:num>
  <w:num w:numId="16">
    <w:abstractNumId w:val="20"/>
  </w:num>
  <w:num w:numId="17">
    <w:abstractNumId w:val="5"/>
  </w:num>
  <w:num w:numId="18">
    <w:abstractNumId w:val="3"/>
  </w:num>
  <w:num w:numId="19">
    <w:abstractNumId w:val="14"/>
  </w:num>
  <w:num w:numId="20">
    <w:abstractNumId w:val="9"/>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2OTMyNGMyN2EzYzcxNDNmMDdlYzA4ZmI3ZmEyMmYifQ=="/>
  </w:docVars>
  <w:rsids>
    <w:rsidRoot w:val="00035925"/>
    <w:rsid w:val="00000244"/>
    <w:rsid w:val="00000BB3"/>
    <w:rsid w:val="0000185F"/>
    <w:rsid w:val="00002116"/>
    <w:rsid w:val="00004B91"/>
    <w:rsid w:val="00004E32"/>
    <w:rsid w:val="0000586F"/>
    <w:rsid w:val="00006902"/>
    <w:rsid w:val="00013D86"/>
    <w:rsid w:val="00013E02"/>
    <w:rsid w:val="00021230"/>
    <w:rsid w:val="0002143C"/>
    <w:rsid w:val="00025A65"/>
    <w:rsid w:val="00026C31"/>
    <w:rsid w:val="00027280"/>
    <w:rsid w:val="000320A7"/>
    <w:rsid w:val="000325EA"/>
    <w:rsid w:val="00035925"/>
    <w:rsid w:val="00036C2C"/>
    <w:rsid w:val="00036FFE"/>
    <w:rsid w:val="00041184"/>
    <w:rsid w:val="00045A7C"/>
    <w:rsid w:val="00050F2A"/>
    <w:rsid w:val="00052638"/>
    <w:rsid w:val="00052F20"/>
    <w:rsid w:val="00055371"/>
    <w:rsid w:val="00056A24"/>
    <w:rsid w:val="00057CE5"/>
    <w:rsid w:val="000607A3"/>
    <w:rsid w:val="000657F7"/>
    <w:rsid w:val="00065DF4"/>
    <w:rsid w:val="00067CDF"/>
    <w:rsid w:val="00074FBE"/>
    <w:rsid w:val="0007762A"/>
    <w:rsid w:val="00081F6E"/>
    <w:rsid w:val="00083A09"/>
    <w:rsid w:val="0009005E"/>
    <w:rsid w:val="000918A9"/>
    <w:rsid w:val="00092001"/>
    <w:rsid w:val="00092618"/>
    <w:rsid w:val="00092857"/>
    <w:rsid w:val="00092BD8"/>
    <w:rsid w:val="00093B6E"/>
    <w:rsid w:val="00094B7B"/>
    <w:rsid w:val="000964C7"/>
    <w:rsid w:val="000979D9"/>
    <w:rsid w:val="000A20A9"/>
    <w:rsid w:val="000A48B1"/>
    <w:rsid w:val="000A74B6"/>
    <w:rsid w:val="000B2671"/>
    <w:rsid w:val="000B2F0E"/>
    <w:rsid w:val="000B3143"/>
    <w:rsid w:val="000B405D"/>
    <w:rsid w:val="000C1A52"/>
    <w:rsid w:val="000C2BE6"/>
    <w:rsid w:val="000C4FDD"/>
    <w:rsid w:val="000C66C4"/>
    <w:rsid w:val="000C6B05"/>
    <w:rsid w:val="000C6DD6"/>
    <w:rsid w:val="000C73D4"/>
    <w:rsid w:val="000D3D4C"/>
    <w:rsid w:val="000D4F51"/>
    <w:rsid w:val="000D718B"/>
    <w:rsid w:val="000E0C46"/>
    <w:rsid w:val="000E15EE"/>
    <w:rsid w:val="000F030C"/>
    <w:rsid w:val="000F129C"/>
    <w:rsid w:val="000F174F"/>
    <w:rsid w:val="000F43F8"/>
    <w:rsid w:val="00104E29"/>
    <w:rsid w:val="001056DE"/>
    <w:rsid w:val="001124C0"/>
    <w:rsid w:val="001162C0"/>
    <w:rsid w:val="00117A25"/>
    <w:rsid w:val="00121293"/>
    <w:rsid w:val="0013175F"/>
    <w:rsid w:val="0013364D"/>
    <w:rsid w:val="001343BB"/>
    <w:rsid w:val="00134C46"/>
    <w:rsid w:val="00135256"/>
    <w:rsid w:val="00135387"/>
    <w:rsid w:val="00145A3E"/>
    <w:rsid w:val="00145B0A"/>
    <w:rsid w:val="001512B4"/>
    <w:rsid w:val="00153A26"/>
    <w:rsid w:val="001620A5"/>
    <w:rsid w:val="00164352"/>
    <w:rsid w:val="00164E53"/>
    <w:rsid w:val="00165269"/>
    <w:rsid w:val="00165D35"/>
    <w:rsid w:val="0016699D"/>
    <w:rsid w:val="001670D9"/>
    <w:rsid w:val="001722E1"/>
    <w:rsid w:val="00173A06"/>
    <w:rsid w:val="00174DD2"/>
    <w:rsid w:val="00175159"/>
    <w:rsid w:val="00175AD7"/>
    <w:rsid w:val="00176208"/>
    <w:rsid w:val="00177196"/>
    <w:rsid w:val="0017780C"/>
    <w:rsid w:val="001813B2"/>
    <w:rsid w:val="0018211B"/>
    <w:rsid w:val="00183FE1"/>
    <w:rsid w:val="001840D3"/>
    <w:rsid w:val="00184782"/>
    <w:rsid w:val="00187A8A"/>
    <w:rsid w:val="001900F8"/>
    <w:rsid w:val="00191258"/>
    <w:rsid w:val="00192680"/>
    <w:rsid w:val="00193037"/>
    <w:rsid w:val="00193375"/>
    <w:rsid w:val="00193A2C"/>
    <w:rsid w:val="001A288E"/>
    <w:rsid w:val="001A3679"/>
    <w:rsid w:val="001A5EFC"/>
    <w:rsid w:val="001A7684"/>
    <w:rsid w:val="001B0C29"/>
    <w:rsid w:val="001B36ED"/>
    <w:rsid w:val="001B6DC2"/>
    <w:rsid w:val="001B754B"/>
    <w:rsid w:val="001B7BC5"/>
    <w:rsid w:val="001C149C"/>
    <w:rsid w:val="001C21AC"/>
    <w:rsid w:val="001C3689"/>
    <w:rsid w:val="001C47BA"/>
    <w:rsid w:val="001C59EA"/>
    <w:rsid w:val="001D3556"/>
    <w:rsid w:val="001D406C"/>
    <w:rsid w:val="001D41EE"/>
    <w:rsid w:val="001D4BEB"/>
    <w:rsid w:val="001D5EE7"/>
    <w:rsid w:val="001D6B6C"/>
    <w:rsid w:val="001D71E6"/>
    <w:rsid w:val="001E0380"/>
    <w:rsid w:val="001E0B1B"/>
    <w:rsid w:val="001E12EB"/>
    <w:rsid w:val="001E13B1"/>
    <w:rsid w:val="001E2153"/>
    <w:rsid w:val="001E4CF5"/>
    <w:rsid w:val="001F15B8"/>
    <w:rsid w:val="001F3A19"/>
    <w:rsid w:val="001F60CA"/>
    <w:rsid w:val="002009E4"/>
    <w:rsid w:val="00201053"/>
    <w:rsid w:val="0020251B"/>
    <w:rsid w:val="00202FA6"/>
    <w:rsid w:val="002073D3"/>
    <w:rsid w:val="002074DE"/>
    <w:rsid w:val="00210A81"/>
    <w:rsid w:val="00215535"/>
    <w:rsid w:val="00215D48"/>
    <w:rsid w:val="0021624B"/>
    <w:rsid w:val="0022185E"/>
    <w:rsid w:val="0022449B"/>
    <w:rsid w:val="00227F55"/>
    <w:rsid w:val="00227FED"/>
    <w:rsid w:val="0023030A"/>
    <w:rsid w:val="00230F08"/>
    <w:rsid w:val="00233F70"/>
    <w:rsid w:val="00234467"/>
    <w:rsid w:val="00235BE6"/>
    <w:rsid w:val="00235EBB"/>
    <w:rsid w:val="00235FA7"/>
    <w:rsid w:val="00237D8D"/>
    <w:rsid w:val="00241DA2"/>
    <w:rsid w:val="00247FEE"/>
    <w:rsid w:val="00250E7D"/>
    <w:rsid w:val="002523DB"/>
    <w:rsid w:val="002527DD"/>
    <w:rsid w:val="00252DAA"/>
    <w:rsid w:val="002565D5"/>
    <w:rsid w:val="002622C0"/>
    <w:rsid w:val="002703BA"/>
    <w:rsid w:val="002751CF"/>
    <w:rsid w:val="002778AE"/>
    <w:rsid w:val="0028269A"/>
    <w:rsid w:val="00283590"/>
    <w:rsid w:val="0028577E"/>
    <w:rsid w:val="0028656D"/>
    <w:rsid w:val="00286973"/>
    <w:rsid w:val="00286CB7"/>
    <w:rsid w:val="00287674"/>
    <w:rsid w:val="002913FC"/>
    <w:rsid w:val="002938A4"/>
    <w:rsid w:val="00294E70"/>
    <w:rsid w:val="002954B8"/>
    <w:rsid w:val="002967B2"/>
    <w:rsid w:val="002973F1"/>
    <w:rsid w:val="002A1924"/>
    <w:rsid w:val="002A4273"/>
    <w:rsid w:val="002A7420"/>
    <w:rsid w:val="002A7A7E"/>
    <w:rsid w:val="002B0F12"/>
    <w:rsid w:val="002B1308"/>
    <w:rsid w:val="002B4554"/>
    <w:rsid w:val="002B5B25"/>
    <w:rsid w:val="002B707C"/>
    <w:rsid w:val="002C5399"/>
    <w:rsid w:val="002C72D8"/>
    <w:rsid w:val="002D11FA"/>
    <w:rsid w:val="002D17BC"/>
    <w:rsid w:val="002D19A4"/>
    <w:rsid w:val="002D394B"/>
    <w:rsid w:val="002D3C39"/>
    <w:rsid w:val="002D40AD"/>
    <w:rsid w:val="002D6352"/>
    <w:rsid w:val="002E0DDF"/>
    <w:rsid w:val="002E2906"/>
    <w:rsid w:val="002E5635"/>
    <w:rsid w:val="002E64C3"/>
    <w:rsid w:val="002E6A2C"/>
    <w:rsid w:val="002E70FF"/>
    <w:rsid w:val="002F035E"/>
    <w:rsid w:val="002F0FE8"/>
    <w:rsid w:val="002F1B39"/>
    <w:rsid w:val="002F1D8C"/>
    <w:rsid w:val="002F21DA"/>
    <w:rsid w:val="002F2AC4"/>
    <w:rsid w:val="002F34B8"/>
    <w:rsid w:val="002F4849"/>
    <w:rsid w:val="00301F39"/>
    <w:rsid w:val="00302F51"/>
    <w:rsid w:val="00303D27"/>
    <w:rsid w:val="0030440D"/>
    <w:rsid w:val="00305BEE"/>
    <w:rsid w:val="00313962"/>
    <w:rsid w:val="003234E0"/>
    <w:rsid w:val="003243F0"/>
    <w:rsid w:val="00325926"/>
    <w:rsid w:val="00326A38"/>
    <w:rsid w:val="00326CD1"/>
    <w:rsid w:val="00327A8A"/>
    <w:rsid w:val="00327D22"/>
    <w:rsid w:val="0033217F"/>
    <w:rsid w:val="00332AE0"/>
    <w:rsid w:val="003339A3"/>
    <w:rsid w:val="00335B63"/>
    <w:rsid w:val="00336610"/>
    <w:rsid w:val="00341F5C"/>
    <w:rsid w:val="00343D23"/>
    <w:rsid w:val="00343F73"/>
    <w:rsid w:val="00345060"/>
    <w:rsid w:val="003451FB"/>
    <w:rsid w:val="00352629"/>
    <w:rsid w:val="0035323B"/>
    <w:rsid w:val="00353D19"/>
    <w:rsid w:val="0035785A"/>
    <w:rsid w:val="003609D2"/>
    <w:rsid w:val="0036254D"/>
    <w:rsid w:val="00363F22"/>
    <w:rsid w:val="00364940"/>
    <w:rsid w:val="00367CF1"/>
    <w:rsid w:val="00375564"/>
    <w:rsid w:val="00376489"/>
    <w:rsid w:val="00376932"/>
    <w:rsid w:val="00383191"/>
    <w:rsid w:val="00386DED"/>
    <w:rsid w:val="00386E6A"/>
    <w:rsid w:val="003912E7"/>
    <w:rsid w:val="00393947"/>
    <w:rsid w:val="00395141"/>
    <w:rsid w:val="003A0E27"/>
    <w:rsid w:val="003A2275"/>
    <w:rsid w:val="003A2C90"/>
    <w:rsid w:val="003A6A4F"/>
    <w:rsid w:val="003A7088"/>
    <w:rsid w:val="003B00DF"/>
    <w:rsid w:val="003B1275"/>
    <w:rsid w:val="003B1778"/>
    <w:rsid w:val="003B6C28"/>
    <w:rsid w:val="003C11CB"/>
    <w:rsid w:val="003C3017"/>
    <w:rsid w:val="003C6A77"/>
    <w:rsid w:val="003C75F3"/>
    <w:rsid w:val="003C78A3"/>
    <w:rsid w:val="003D36AB"/>
    <w:rsid w:val="003E0769"/>
    <w:rsid w:val="003E1867"/>
    <w:rsid w:val="003E26A7"/>
    <w:rsid w:val="003E5729"/>
    <w:rsid w:val="003E724E"/>
    <w:rsid w:val="003F1D40"/>
    <w:rsid w:val="003F22BB"/>
    <w:rsid w:val="003F2A5B"/>
    <w:rsid w:val="003F4EE0"/>
    <w:rsid w:val="003F5559"/>
    <w:rsid w:val="00400473"/>
    <w:rsid w:val="00402153"/>
    <w:rsid w:val="00402E26"/>
    <w:rsid w:val="00402FC1"/>
    <w:rsid w:val="0041548C"/>
    <w:rsid w:val="00417BF6"/>
    <w:rsid w:val="004200D9"/>
    <w:rsid w:val="00422EC9"/>
    <w:rsid w:val="0042493B"/>
    <w:rsid w:val="00425082"/>
    <w:rsid w:val="00426AC9"/>
    <w:rsid w:val="00431DEB"/>
    <w:rsid w:val="0044259D"/>
    <w:rsid w:val="004439D9"/>
    <w:rsid w:val="00446B29"/>
    <w:rsid w:val="004473C4"/>
    <w:rsid w:val="004524BE"/>
    <w:rsid w:val="00453AAE"/>
    <w:rsid w:val="00453F9A"/>
    <w:rsid w:val="00454CC3"/>
    <w:rsid w:val="00464903"/>
    <w:rsid w:val="00464D67"/>
    <w:rsid w:val="00471E91"/>
    <w:rsid w:val="00474079"/>
    <w:rsid w:val="00474675"/>
    <w:rsid w:val="0047470C"/>
    <w:rsid w:val="00484C88"/>
    <w:rsid w:val="004A203E"/>
    <w:rsid w:val="004A35F9"/>
    <w:rsid w:val="004A4662"/>
    <w:rsid w:val="004A4AEA"/>
    <w:rsid w:val="004A5851"/>
    <w:rsid w:val="004A59A9"/>
    <w:rsid w:val="004A5D7D"/>
    <w:rsid w:val="004A6F09"/>
    <w:rsid w:val="004A7E02"/>
    <w:rsid w:val="004B157A"/>
    <w:rsid w:val="004B24C1"/>
    <w:rsid w:val="004B3092"/>
    <w:rsid w:val="004B49B1"/>
    <w:rsid w:val="004B557C"/>
    <w:rsid w:val="004B6815"/>
    <w:rsid w:val="004C292F"/>
    <w:rsid w:val="004C657F"/>
    <w:rsid w:val="004D306F"/>
    <w:rsid w:val="004D4B02"/>
    <w:rsid w:val="004D4F76"/>
    <w:rsid w:val="004E357D"/>
    <w:rsid w:val="004E4B13"/>
    <w:rsid w:val="004E4B8C"/>
    <w:rsid w:val="004E5A47"/>
    <w:rsid w:val="004F57D0"/>
    <w:rsid w:val="004F7D2C"/>
    <w:rsid w:val="005036E2"/>
    <w:rsid w:val="00510280"/>
    <w:rsid w:val="00513D73"/>
    <w:rsid w:val="005148B3"/>
    <w:rsid w:val="00514A43"/>
    <w:rsid w:val="00515E9C"/>
    <w:rsid w:val="005174E5"/>
    <w:rsid w:val="00520898"/>
    <w:rsid w:val="00521629"/>
    <w:rsid w:val="00522393"/>
    <w:rsid w:val="00522620"/>
    <w:rsid w:val="00525656"/>
    <w:rsid w:val="00525BF3"/>
    <w:rsid w:val="00534C02"/>
    <w:rsid w:val="0054044C"/>
    <w:rsid w:val="0054264B"/>
    <w:rsid w:val="00543786"/>
    <w:rsid w:val="0054553D"/>
    <w:rsid w:val="00545A49"/>
    <w:rsid w:val="005463CC"/>
    <w:rsid w:val="00546D0D"/>
    <w:rsid w:val="0055153A"/>
    <w:rsid w:val="005533D7"/>
    <w:rsid w:val="00554B63"/>
    <w:rsid w:val="00562CF6"/>
    <w:rsid w:val="00564992"/>
    <w:rsid w:val="0056544B"/>
    <w:rsid w:val="00567177"/>
    <w:rsid w:val="005702D1"/>
    <w:rsid w:val="005703DE"/>
    <w:rsid w:val="005710BC"/>
    <w:rsid w:val="0057420E"/>
    <w:rsid w:val="005755F1"/>
    <w:rsid w:val="00576249"/>
    <w:rsid w:val="00581927"/>
    <w:rsid w:val="00582BBE"/>
    <w:rsid w:val="0058311A"/>
    <w:rsid w:val="0058464E"/>
    <w:rsid w:val="0058650E"/>
    <w:rsid w:val="00593B03"/>
    <w:rsid w:val="00593ED6"/>
    <w:rsid w:val="005A01CB"/>
    <w:rsid w:val="005A1955"/>
    <w:rsid w:val="005A19A9"/>
    <w:rsid w:val="005A1DEA"/>
    <w:rsid w:val="005A58FF"/>
    <w:rsid w:val="005A5EAF"/>
    <w:rsid w:val="005A6491"/>
    <w:rsid w:val="005A64C0"/>
    <w:rsid w:val="005B1985"/>
    <w:rsid w:val="005B35F9"/>
    <w:rsid w:val="005B3C11"/>
    <w:rsid w:val="005C1C28"/>
    <w:rsid w:val="005C414F"/>
    <w:rsid w:val="005C43D0"/>
    <w:rsid w:val="005C66CD"/>
    <w:rsid w:val="005C6DB5"/>
    <w:rsid w:val="005C7C12"/>
    <w:rsid w:val="005D3842"/>
    <w:rsid w:val="005E19E7"/>
    <w:rsid w:val="005E2392"/>
    <w:rsid w:val="005E30A8"/>
    <w:rsid w:val="005E3323"/>
    <w:rsid w:val="005F7927"/>
    <w:rsid w:val="00601622"/>
    <w:rsid w:val="0060789B"/>
    <w:rsid w:val="0061037E"/>
    <w:rsid w:val="00612FDC"/>
    <w:rsid w:val="00613FAA"/>
    <w:rsid w:val="00615887"/>
    <w:rsid w:val="00616C36"/>
    <w:rsid w:val="0061716C"/>
    <w:rsid w:val="006171AF"/>
    <w:rsid w:val="00617868"/>
    <w:rsid w:val="006243A1"/>
    <w:rsid w:val="00626005"/>
    <w:rsid w:val="00632E56"/>
    <w:rsid w:val="006337B9"/>
    <w:rsid w:val="00635CBA"/>
    <w:rsid w:val="00636EFC"/>
    <w:rsid w:val="0064338B"/>
    <w:rsid w:val="00646542"/>
    <w:rsid w:val="006504F4"/>
    <w:rsid w:val="0065366F"/>
    <w:rsid w:val="00654BC9"/>
    <w:rsid w:val="006552FD"/>
    <w:rsid w:val="00656F0B"/>
    <w:rsid w:val="00663393"/>
    <w:rsid w:val="00663733"/>
    <w:rsid w:val="00663AF3"/>
    <w:rsid w:val="00666B6C"/>
    <w:rsid w:val="00677B54"/>
    <w:rsid w:val="00682682"/>
    <w:rsid w:val="00682702"/>
    <w:rsid w:val="00683A1C"/>
    <w:rsid w:val="006845B2"/>
    <w:rsid w:val="0068684F"/>
    <w:rsid w:val="00692368"/>
    <w:rsid w:val="00695192"/>
    <w:rsid w:val="0069697B"/>
    <w:rsid w:val="006A2EBC"/>
    <w:rsid w:val="006A5EA0"/>
    <w:rsid w:val="006A783B"/>
    <w:rsid w:val="006A7B33"/>
    <w:rsid w:val="006B497F"/>
    <w:rsid w:val="006B4E13"/>
    <w:rsid w:val="006B75DD"/>
    <w:rsid w:val="006C047C"/>
    <w:rsid w:val="006C3D8B"/>
    <w:rsid w:val="006C67E0"/>
    <w:rsid w:val="006C759A"/>
    <w:rsid w:val="006C7ABA"/>
    <w:rsid w:val="006D0A13"/>
    <w:rsid w:val="006D0D60"/>
    <w:rsid w:val="006D1122"/>
    <w:rsid w:val="006D317E"/>
    <w:rsid w:val="006D3B1E"/>
    <w:rsid w:val="006D3C00"/>
    <w:rsid w:val="006E06AD"/>
    <w:rsid w:val="006E3675"/>
    <w:rsid w:val="006E41E7"/>
    <w:rsid w:val="006E4A7F"/>
    <w:rsid w:val="006F0967"/>
    <w:rsid w:val="006F2274"/>
    <w:rsid w:val="006F64A0"/>
    <w:rsid w:val="006F73B3"/>
    <w:rsid w:val="0070038F"/>
    <w:rsid w:val="007027B1"/>
    <w:rsid w:val="0070286C"/>
    <w:rsid w:val="00704DF6"/>
    <w:rsid w:val="0070641D"/>
    <w:rsid w:val="0070651C"/>
    <w:rsid w:val="007132A3"/>
    <w:rsid w:val="00716421"/>
    <w:rsid w:val="00716BB3"/>
    <w:rsid w:val="00721419"/>
    <w:rsid w:val="0072293C"/>
    <w:rsid w:val="0072340A"/>
    <w:rsid w:val="00724EFB"/>
    <w:rsid w:val="007251BB"/>
    <w:rsid w:val="00726575"/>
    <w:rsid w:val="00730310"/>
    <w:rsid w:val="00736DC6"/>
    <w:rsid w:val="00740A49"/>
    <w:rsid w:val="007419C3"/>
    <w:rsid w:val="00746559"/>
    <w:rsid w:val="007467A7"/>
    <w:rsid w:val="007469DD"/>
    <w:rsid w:val="0074741B"/>
    <w:rsid w:val="0074759E"/>
    <w:rsid w:val="007478EA"/>
    <w:rsid w:val="00747CD8"/>
    <w:rsid w:val="0075415C"/>
    <w:rsid w:val="00757027"/>
    <w:rsid w:val="00757097"/>
    <w:rsid w:val="007606CB"/>
    <w:rsid w:val="00761E8B"/>
    <w:rsid w:val="0076209B"/>
    <w:rsid w:val="00763410"/>
    <w:rsid w:val="00763502"/>
    <w:rsid w:val="007666A0"/>
    <w:rsid w:val="00780DE2"/>
    <w:rsid w:val="00782F81"/>
    <w:rsid w:val="007855FF"/>
    <w:rsid w:val="007913AB"/>
    <w:rsid w:val="007914F7"/>
    <w:rsid w:val="007925F8"/>
    <w:rsid w:val="00793B8B"/>
    <w:rsid w:val="00795C73"/>
    <w:rsid w:val="00796853"/>
    <w:rsid w:val="007A1A2E"/>
    <w:rsid w:val="007A284D"/>
    <w:rsid w:val="007A4809"/>
    <w:rsid w:val="007B1625"/>
    <w:rsid w:val="007B2EEC"/>
    <w:rsid w:val="007B706E"/>
    <w:rsid w:val="007B71EB"/>
    <w:rsid w:val="007C0748"/>
    <w:rsid w:val="007C6205"/>
    <w:rsid w:val="007C686A"/>
    <w:rsid w:val="007C728E"/>
    <w:rsid w:val="007D0629"/>
    <w:rsid w:val="007D0BE0"/>
    <w:rsid w:val="007D11AA"/>
    <w:rsid w:val="007D204F"/>
    <w:rsid w:val="007D2C53"/>
    <w:rsid w:val="007D3354"/>
    <w:rsid w:val="007D3D60"/>
    <w:rsid w:val="007D62E4"/>
    <w:rsid w:val="007E0A59"/>
    <w:rsid w:val="007E1980"/>
    <w:rsid w:val="007E4B76"/>
    <w:rsid w:val="007E5043"/>
    <w:rsid w:val="007E5EA8"/>
    <w:rsid w:val="007F0104"/>
    <w:rsid w:val="007F0CF1"/>
    <w:rsid w:val="007F12A5"/>
    <w:rsid w:val="007F2D74"/>
    <w:rsid w:val="007F3FB7"/>
    <w:rsid w:val="007F4CF1"/>
    <w:rsid w:val="007F530D"/>
    <w:rsid w:val="007F6D16"/>
    <w:rsid w:val="007F758D"/>
    <w:rsid w:val="007F7D52"/>
    <w:rsid w:val="0080484A"/>
    <w:rsid w:val="00805589"/>
    <w:rsid w:val="008057A5"/>
    <w:rsid w:val="00805E2F"/>
    <w:rsid w:val="0080654C"/>
    <w:rsid w:val="008071C6"/>
    <w:rsid w:val="008106F3"/>
    <w:rsid w:val="00817A00"/>
    <w:rsid w:val="00820B95"/>
    <w:rsid w:val="00825891"/>
    <w:rsid w:val="00831631"/>
    <w:rsid w:val="0083228D"/>
    <w:rsid w:val="00833D07"/>
    <w:rsid w:val="00835DB3"/>
    <w:rsid w:val="0083617B"/>
    <w:rsid w:val="00836342"/>
    <w:rsid w:val="00836A2D"/>
    <w:rsid w:val="008371BD"/>
    <w:rsid w:val="00837274"/>
    <w:rsid w:val="00840EBF"/>
    <w:rsid w:val="008504A8"/>
    <w:rsid w:val="00851B58"/>
    <w:rsid w:val="00852353"/>
    <w:rsid w:val="0085282E"/>
    <w:rsid w:val="008529E3"/>
    <w:rsid w:val="00853BDF"/>
    <w:rsid w:val="00863982"/>
    <w:rsid w:val="0087198C"/>
    <w:rsid w:val="00872C1F"/>
    <w:rsid w:val="00873B42"/>
    <w:rsid w:val="00874924"/>
    <w:rsid w:val="00877CB0"/>
    <w:rsid w:val="008805AC"/>
    <w:rsid w:val="00880D1A"/>
    <w:rsid w:val="00882F13"/>
    <w:rsid w:val="00884468"/>
    <w:rsid w:val="008856D8"/>
    <w:rsid w:val="0089179A"/>
    <w:rsid w:val="00891D4C"/>
    <w:rsid w:val="00892E82"/>
    <w:rsid w:val="00892E8C"/>
    <w:rsid w:val="00893277"/>
    <w:rsid w:val="00895FA9"/>
    <w:rsid w:val="008A1035"/>
    <w:rsid w:val="008A6E08"/>
    <w:rsid w:val="008B6F93"/>
    <w:rsid w:val="008C0BE9"/>
    <w:rsid w:val="008C1B58"/>
    <w:rsid w:val="008C39AE"/>
    <w:rsid w:val="008C40DF"/>
    <w:rsid w:val="008C590D"/>
    <w:rsid w:val="008C73A8"/>
    <w:rsid w:val="008D447E"/>
    <w:rsid w:val="008D7566"/>
    <w:rsid w:val="008E031B"/>
    <w:rsid w:val="008E0560"/>
    <w:rsid w:val="008E2D8C"/>
    <w:rsid w:val="008E4150"/>
    <w:rsid w:val="008E48AF"/>
    <w:rsid w:val="008E7029"/>
    <w:rsid w:val="008E7EF6"/>
    <w:rsid w:val="008F1F98"/>
    <w:rsid w:val="008F2340"/>
    <w:rsid w:val="008F2790"/>
    <w:rsid w:val="008F35C7"/>
    <w:rsid w:val="008F6758"/>
    <w:rsid w:val="008F7673"/>
    <w:rsid w:val="009022CA"/>
    <w:rsid w:val="009040DD"/>
    <w:rsid w:val="00904C17"/>
    <w:rsid w:val="00905B47"/>
    <w:rsid w:val="0090690F"/>
    <w:rsid w:val="00910645"/>
    <w:rsid w:val="00911391"/>
    <w:rsid w:val="0091213E"/>
    <w:rsid w:val="0091331C"/>
    <w:rsid w:val="009137BD"/>
    <w:rsid w:val="0091503D"/>
    <w:rsid w:val="0092310D"/>
    <w:rsid w:val="0092412F"/>
    <w:rsid w:val="00924671"/>
    <w:rsid w:val="009279DE"/>
    <w:rsid w:val="00927AB9"/>
    <w:rsid w:val="00927B37"/>
    <w:rsid w:val="00930116"/>
    <w:rsid w:val="00930625"/>
    <w:rsid w:val="00941082"/>
    <w:rsid w:val="0094212C"/>
    <w:rsid w:val="00944853"/>
    <w:rsid w:val="0094609D"/>
    <w:rsid w:val="00953142"/>
    <w:rsid w:val="0095378C"/>
    <w:rsid w:val="00954689"/>
    <w:rsid w:val="0095472A"/>
    <w:rsid w:val="009560B8"/>
    <w:rsid w:val="0096085A"/>
    <w:rsid w:val="009617C9"/>
    <w:rsid w:val="00961C93"/>
    <w:rsid w:val="00962B4E"/>
    <w:rsid w:val="00965324"/>
    <w:rsid w:val="0097091E"/>
    <w:rsid w:val="00972046"/>
    <w:rsid w:val="009760D3"/>
    <w:rsid w:val="00977132"/>
    <w:rsid w:val="00981A4B"/>
    <w:rsid w:val="00982250"/>
    <w:rsid w:val="00982501"/>
    <w:rsid w:val="00983D33"/>
    <w:rsid w:val="00984358"/>
    <w:rsid w:val="0098533A"/>
    <w:rsid w:val="009877D3"/>
    <w:rsid w:val="00991275"/>
    <w:rsid w:val="00994E8F"/>
    <w:rsid w:val="009951DC"/>
    <w:rsid w:val="009959BB"/>
    <w:rsid w:val="00997158"/>
    <w:rsid w:val="009A0073"/>
    <w:rsid w:val="009A0827"/>
    <w:rsid w:val="009A2C45"/>
    <w:rsid w:val="009A394A"/>
    <w:rsid w:val="009A3A7C"/>
    <w:rsid w:val="009A5D33"/>
    <w:rsid w:val="009A7D84"/>
    <w:rsid w:val="009B2323"/>
    <w:rsid w:val="009B2ADB"/>
    <w:rsid w:val="009B5C73"/>
    <w:rsid w:val="009B603A"/>
    <w:rsid w:val="009B6601"/>
    <w:rsid w:val="009C2627"/>
    <w:rsid w:val="009C2D0E"/>
    <w:rsid w:val="009C3DAC"/>
    <w:rsid w:val="009C3F86"/>
    <w:rsid w:val="009C42E0"/>
    <w:rsid w:val="009C62DE"/>
    <w:rsid w:val="009D0AA0"/>
    <w:rsid w:val="009D3230"/>
    <w:rsid w:val="009D5362"/>
    <w:rsid w:val="009E1415"/>
    <w:rsid w:val="009E6116"/>
    <w:rsid w:val="009E7814"/>
    <w:rsid w:val="009E7E25"/>
    <w:rsid w:val="009F0717"/>
    <w:rsid w:val="00A02E43"/>
    <w:rsid w:val="00A048E7"/>
    <w:rsid w:val="00A05368"/>
    <w:rsid w:val="00A065F9"/>
    <w:rsid w:val="00A07011"/>
    <w:rsid w:val="00A07F34"/>
    <w:rsid w:val="00A13777"/>
    <w:rsid w:val="00A20D98"/>
    <w:rsid w:val="00A22154"/>
    <w:rsid w:val="00A239F2"/>
    <w:rsid w:val="00A24058"/>
    <w:rsid w:val="00A25C38"/>
    <w:rsid w:val="00A303BF"/>
    <w:rsid w:val="00A3182E"/>
    <w:rsid w:val="00A35824"/>
    <w:rsid w:val="00A36BBE"/>
    <w:rsid w:val="00A37C20"/>
    <w:rsid w:val="00A40D9E"/>
    <w:rsid w:val="00A41DF7"/>
    <w:rsid w:val="00A420B1"/>
    <w:rsid w:val="00A42910"/>
    <w:rsid w:val="00A42ECA"/>
    <w:rsid w:val="00A4307A"/>
    <w:rsid w:val="00A46391"/>
    <w:rsid w:val="00A46DEF"/>
    <w:rsid w:val="00A47EBB"/>
    <w:rsid w:val="00A51CDD"/>
    <w:rsid w:val="00A563F8"/>
    <w:rsid w:val="00A56BBA"/>
    <w:rsid w:val="00A662F6"/>
    <w:rsid w:val="00A6730D"/>
    <w:rsid w:val="00A71625"/>
    <w:rsid w:val="00A71B9B"/>
    <w:rsid w:val="00A73289"/>
    <w:rsid w:val="00A751C7"/>
    <w:rsid w:val="00A75CF6"/>
    <w:rsid w:val="00A80008"/>
    <w:rsid w:val="00A805A9"/>
    <w:rsid w:val="00A84CE5"/>
    <w:rsid w:val="00A87844"/>
    <w:rsid w:val="00A9227B"/>
    <w:rsid w:val="00A97A55"/>
    <w:rsid w:val="00AA038C"/>
    <w:rsid w:val="00AA6577"/>
    <w:rsid w:val="00AA7A09"/>
    <w:rsid w:val="00AB3B50"/>
    <w:rsid w:val="00AB7F80"/>
    <w:rsid w:val="00AC05B1"/>
    <w:rsid w:val="00AC450C"/>
    <w:rsid w:val="00AC698B"/>
    <w:rsid w:val="00AD340B"/>
    <w:rsid w:val="00AD356C"/>
    <w:rsid w:val="00AE2914"/>
    <w:rsid w:val="00AE6D15"/>
    <w:rsid w:val="00AE7023"/>
    <w:rsid w:val="00AE78AA"/>
    <w:rsid w:val="00AF0EF3"/>
    <w:rsid w:val="00AF112F"/>
    <w:rsid w:val="00AF1F49"/>
    <w:rsid w:val="00AF2D81"/>
    <w:rsid w:val="00AF55A7"/>
    <w:rsid w:val="00AF69FA"/>
    <w:rsid w:val="00B04182"/>
    <w:rsid w:val="00B05ECF"/>
    <w:rsid w:val="00B0798D"/>
    <w:rsid w:val="00B07AE3"/>
    <w:rsid w:val="00B11430"/>
    <w:rsid w:val="00B12A5D"/>
    <w:rsid w:val="00B242F4"/>
    <w:rsid w:val="00B2477A"/>
    <w:rsid w:val="00B24D1C"/>
    <w:rsid w:val="00B30072"/>
    <w:rsid w:val="00B30481"/>
    <w:rsid w:val="00B31248"/>
    <w:rsid w:val="00B325F4"/>
    <w:rsid w:val="00B3312F"/>
    <w:rsid w:val="00B353EB"/>
    <w:rsid w:val="00B4016F"/>
    <w:rsid w:val="00B407AC"/>
    <w:rsid w:val="00B439C4"/>
    <w:rsid w:val="00B44D9F"/>
    <w:rsid w:val="00B4535E"/>
    <w:rsid w:val="00B52A8C"/>
    <w:rsid w:val="00B54707"/>
    <w:rsid w:val="00B56155"/>
    <w:rsid w:val="00B56AD0"/>
    <w:rsid w:val="00B62F11"/>
    <w:rsid w:val="00B63042"/>
    <w:rsid w:val="00B636A8"/>
    <w:rsid w:val="00B64CEF"/>
    <w:rsid w:val="00B64EF8"/>
    <w:rsid w:val="00B665C6"/>
    <w:rsid w:val="00B72AD8"/>
    <w:rsid w:val="00B74441"/>
    <w:rsid w:val="00B758A5"/>
    <w:rsid w:val="00B805AF"/>
    <w:rsid w:val="00B82BD5"/>
    <w:rsid w:val="00B869EC"/>
    <w:rsid w:val="00B87031"/>
    <w:rsid w:val="00B91823"/>
    <w:rsid w:val="00B92383"/>
    <w:rsid w:val="00B9397A"/>
    <w:rsid w:val="00B9633D"/>
    <w:rsid w:val="00B967D5"/>
    <w:rsid w:val="00B969B7"/>
    <w:rsid w:val="00B96C56"/>
    <w:rsid w:val="00B97A41"/>
    <w:rsid w:val="00BA2D87"/>
    <w:rsid w:val="00BA2EBE"/>
    <w:rsid w:val="00BB0222"/>
    <w:rsid w:val="00BB0F28"/>
    <w:rsid w:val="00BB4147"/>
    <w:rsid w:val="00BB458A"/>
    <w:rsid w:val="00BB693F"/>
    <w:rsid w:val="00BB6C11"/>
    <w:rsid w:val="00BC282D"/>
    <w:rsid w:val="00BC5953"/>
    <w:rsid w:val="00BC7A0F"/>
    <w:rsid w:val="00BD00D3"/>
    <w:rsid w:val="00BD1659"/>
    <w:rsid w:val="00BD3AA9"/>
    <w:rsid w:val="00BD4A18"/>
    <w:rsid w:val="00BD4DA7"/>
    <w:rsid w:val="00BD6DB2"/>
    <w:rsid w:val="00BD73A1"/>
    <w:rsid w:val="00BE11CF"/>
    <w:rsid w:val="00BE21AB"/>
    <w:rsid w:val="00BE2F5A"/>
    <w:rsid w:val="00BE55CB"/>
    <w:rsid w:val="00BE5F3C"/>
    <w:rsid w:val="00BE7067"/>
    <w:rsid w:val="00BF3BB2"/>
    <w:rsid w:val="00BF617A"/>
    <w:rsid w:val="00C000E3"/>
    <w:rsid w:val="00C01187"/>
    <w:rsid w:val="00C0379D"/>
    <w:rsid w:val="00C03931"/>
    <w:rsid w:val="00C04661"/>
    <w:rsid w:val="00C05FE3"/>
    <w:rsid w:val="00C07097"/>
    <w:rsid w:val="00C11DA9"/>
    <w:rsid w:val="00C2136D"/>
    <w:rsid w:val="00C214EE"/>
    <w:rsid w:val="00C2314B"/>
    <w:rsid w:val="00C244A0"/>
    <w:rsid w:val="00C24971"/>
    <w:rsid w:val="00C25355"/>
    <w:rsid w:val="00C26BE5"/>
    <w:rsid w:val="00C26E4D"/>
    <w:rsid w:val="00C27909"/>
    <w:rsid w:val="00C27B03"/>
    <w:rsid w:val="00C30ED6"/>
    <w:rsid w:val="00C314E1"/>
    <w:rsid w:val="00C33631"/>
    <w:rsid w:val="00C34397"/>
    <w:rsid w:val="00C36B2E"/>
    <w:rsid w:val="00C40503"/>
    <w:rsid w:val="00C4095D"/>
    <w:rsid w:val="00C51CD1"/>
    <w:rsid w:val="00C524D8"/>
    <w:rsid w:val="00C5652A"/>
    <w:rsid w:val="00C57218"/>
    <w:rsid w:val="00C57A9C"/>
    <w:rsid w:val="00C601D2"/>
    <w:rsid w:val="00C648B1"/>
    <w:rsid w:val="00C65BCC"/>
    <w:rsid w:val="00C66970"/>
    <w:rsid w:val="00C71F4D"/>
    <w:rsid w:val="00C72639"/>
    <w:rsid w:val="00C73436"/>
    <w:rsid w:val="00C762AA"/>
    <w:rsid w:val="00C86545"/>
    <w:rsid w:val="00C8691C"/>
    <w:rsid w:val="00C86CB4"/>
    <w:rsid w:val="00C910C9"/>
    <w:rsid w:val="00C95480"/>
    <w:rsid w:val="00C96295"/>
    <w:rsid w:val="00C96364"/>
    <w:rsid w:val="00C9682B"/>
    <w:rsid w:val="00CA03DF"/>
    <w:rsid w:val="00CA168A"/>
    <w:rsid w:val="00CA2097"/>
    <w:rsid w:val="00CA357E"/>
    <w:rsid w:val="00CA44F9"/>
    <w:rsid w:val="00CA4A69"/>
    <w:rsid w:val="00CA74E9"/>
    <w:rsid w:val="00CB6E7F"/>
    <w:rsid w:val="00CB722E"/>
    <w:rsid w:val="00CC0690"/>
    <w:rsid w:val="00CC3E0C"/>
    <w:rsid w:val="00CC4948"/>
    <w:rsid w:val="00CC58D3"/>
    <w:rsid w:val="00CC784D"/>
    <w:rsid w:val="00CF1E15"/>
    <w:rsid w:val="00D00A8D"/>
    <w:rsid w:val="00D00BC8"/>
    <w:rsid w:val="00D02DFC"/>
    <w:rsid w:val="00D03268"/>
    <w:rsid w:val="00D0337B"/>
    <w:rsid w:val="00D07777"/>
    <w:rsid w:val="00D079B2"/>
    <w:rsid w:val="00D114E9"/>
    <w:rsid w:val="00D14EBC"/>
    <w:rsid w:val="00D17CD8"/>
    <w:rsid w:val="00D2009A"/>
    <w:rsid w:val="00D234BD"/>
    <w:rsid w:val="00D2527C"/>
    <w:rsid w:val="00D25514"/>
    <w:rsid w:val="00D27B80"/>
    <w:rsid w:val="00D313B3"/>
    <w:rsid w:val="00D35B8E"/>
    <w:rsid w:val="00D36572"/>
    <w:rsid w:val="00D40F07"/>
    <w:rsid w:val="00D429C6"/>
    <w:rsid w:val="00D472BF"/>
    <w:rsid w:val="00D47748"/>
    <w:rsid w:val="00D5178F"/>
    <w:rsid w:val="00D518DF"/>
    <w:rsid w:val="00D54CC3"/>
    <w:rsid w:val="00D56732"/>
    <w:rsid w:val="00D6041A"/>
    <w:rsid w:val="00D61258"/>
    <w:rsid w:val="00D633EB"/>
    <w:rsid w:val="00D67C03"/>
    <w:rsid w:val="00D67DCF"/>
    <w:rsid w:val="00D736AC"/>
    <w:rsid w:val="00D747AA"/>
    <w:rsid w:val="00D75A7E"/>
    <w:rsid w:val="00D763E3"/>
    <w:rsid w:val="00D82FF7"/>
    <w:rsid w:val="00D8358C"/>
    <w:rsid w:val="00D84271"/>
    <w:rsid w:val="00D847FE"/>
    <w:rsid w:val="00D85352"/>
    <w:rsid w:val="00D86B9C"/>
    <w:rsid w:val="00D900CD"/>
    <w:rsid w:val="00D90A39"/>
    <w:rsid w:val="00D91156"/>
    <w:rsid w:val="00D91CEC"/>
    <w:rsid w:val="00D964EA"/>
    <w:rsid w:val="00D96583"/>
    <w:rsid w:val="00D966D0"/>
    <w:rsid w:val="00DA0C59"/>
    <w:rsid w:val="00DA38CB"/>
    <w:rsid w:val="00DA3991"/>
    <w:rsid w:val="00DA72A1"/>
    <w:rsid w:val="00DA7F95"/>
    <w:rsid w:val="00DB01F1"/>
    <w:rsid w:val="00DB3222"/>
    <w:rsid w:val="00DB7E6C"/>
    <w:rsid w:val="00DC4D95"/>
    <w:rsid w:val="00DC4F68"/>
    <w:rsid w:val="00DC64B0"/>
    <w:rsid w:val="00DC6B1E"/>
    <w:rsid w:val="00DD252A"/>
    <w:rsid w:val="00DD41E0"/>
    <w:rsid w:val="00DD5949"/>
    <w:rsid w:val="00DD5A29"/>
    <w:rsid w:val="00DD5D9D"/>
    <w:rsid w:val="00DE1F47"/>
    <w:rsid w:val="00DE35CB"/>
    <w:rsid w:val="00DE5E24"/>
    <w:rsid w:val="00DE6F4D"/>
    <w:rsid w:val="00DE76B7"/>
    <w:rsid w:val="00DF0EF0"/>
    <w:rsid w:val="00DF21E9"/>
    <w:rsid w:val="00DF22C7"/>
    <w:rsid w:val="00DF5588"/>
    <w:rsid w:val="00DF5CC9"/>
    <w:rsid w:val="00E005D3"/>
    <w:rsid w:val="00E00F14"/>
    <w:rsid w:val="00E01CB8"/>
    <w:rsid w:val="00E06386"/>
    <w:rsid w:val="00E075C5"/>
    <w:rsid w:val="00E1051A"/>
    <w:rsid w:val="00E111F3"/>
    <w:rsid w:val="00E11668"/>
    <w:rsid w:val="00E118E7"/>
    <w:rsid w:val="00E11E70"/>
    <w:rsid w:val="00E122B7"/>
    <w:rsid w:val="00E21433"/>
    <w:rsid w:val="00E21B55"/>
    <w:rsid w:val="00E221D3"/>
    <w:rsid w:val="00E24EB4"/>
    <w:rsid w:val="00E253A2"/>
    <w:rsid w:val="00E273EA"/>
    <w:rsid w:val="00E30635"/>
    <w:rsid w:val="00E31B99"/>
    <w:rsid w:val="00E320ED"/>
    <w:rsid w:val="00E33AFB"/>
    <w:rsid w:val="00E34218"/>
    <w:rsid w:val="00E3451F"/>
    <w:rsid w:val="00E4400C"/>
    <w:rsid w:val="00E4555B"/>
    <w:rsid w:val="00E46282"/>
    <w:rsid w:val="00E5216E"/>
    <w:rsid w:val="00E536F3"/>
    <w:rsid w:val="00E54067"/>
    <w:rsid w:val="00E5529C"/>
    <w:rsid w:val="00E657C6"/>
    <w:rsid w:val="00E75D40"/>
    <w:rsid w:val="00E81965"/>
    <w:rsid w:val="00E81A88"/>
    <w:rsid w:val="00E82344"/>
    <w:rsid w:val="00E84C82"/>
    <w:rsid w:val="00E84D64"/>
    <w:rsid w:val="00E87408"/>
    <w:rsid w:val="00E90F5D"/>
    <w:rsid w:val="00E914C4"/>
    <w:rsid w:val="00E92FBF"/>
    <w:rsid w:val="00E934F5"/>
    <w:rsid w:val="00E96961"/>
    <w:rsid w:val="00EA4D0F"/>
    <w:rsid w:val="00EA72EC"/>
    <w:rsid w:val="00EB11CB"/>
    <w:rsid w:val="00EB1C71"/>
    <w:rsid w:val="00EB275A"/>
    <w:rsid w:val="00EB57CA"/>
    <w:rsid w:val="00EB786A"/>
    <w:rsid w:val="00EC1578"/>
    <w:rsid w:val="00EC1BFC"/>
    <w:rsid w:val="00EC1C72"/>
    <w:rsid w:val="00EC3356"/>
    <w:rsid w:val="00EC3CC9"/>
    <w:rsid w:val="00EC49C1"/>
    <w:rsid w:val="00EC5D85"/>
    <w:rsid w:val="00EC680A"/>
    <w:rsid w:val="00ED511C"/>
    <w:rsid w:val="00ED7229"/>
    <w:rsid w:val="00EE10C6"/>
    <w:rsid w:val="00EE10CF"/>
    <w:rsid w:val="00EE25CB"/>
    <w:rsid w:val="00EE2BED"/>
    <w:rsid w:val="00EE374B"/>
    <w:rsid w:val="00EE4A87"/>
    <w:rsid w:val="00EE7359"/>
    <w:rsid w:val="00EE79EC"/>
    <w:rsid w:val="00EF2869"/>
    <w:rsid w:val="00EF3850"/>
    <w:rsid w:val="00EF6655"/>
    <w:rsid w:val="00F035A0"/>
    <w:rsid w:val="00F04063"/>
    <w:rsid w:val="00F05D60"/>
    <w:rsid w:val="00F06E42"/>
    <w:rsid w:val="00F07224"/>
    <w:rsid w:val="00F07FD3"/>
    <w:rsid w:val="00F11BB5"/>
    <w:rsid w:val="00F1296C"/>
    <w:rsid w:val="00F1417B"/>
    <w:rsid w:val="00F1712D"/>
    <w:rsid w:val="00F17A17"/>
    <w:rsid w:val="00F208A0"/>
    <w:rsid w:val="00F2115E"/>
    <w:rsid w:val="00F25865"/>
    <w:rsid w:val="00F27B3D"/>
    <w:rsid w:val="00F30ABD"/>
    <w:rsid w:val="00F312BB"/>
    <w:rsid w:val="00F34B99"/>
    <w:rsid w:val="00F3673E"/>
    <w:rsid w:val="00F40B02"/>
    <w:rsid w:val="00F41E81"/>
    <w:rsid w:val="00F444EC"/>
    <w:rsid w:val="00F45445"/>
    <w:rsid w:val="00F456F1"/>
    <w:rsid w:val="00F51720"/>
    <w:rsid w:val="00F51CF2"/>
    <w:rsid w:val="00F52DAB"/>
    <w:rsid w:val="00F543F0"/>
    <w:rsid w:val="00F55863"/>
    <w:rsid w:val="00F55E3E"/>
    <w:rsid w:val="00F57601"/>
    <w:rsid w:val="00F61E2B"/>
    <w:rsid w:val="00F620E3"/>
    <w:rsid w:val="00F73F99"/>
    <w:rsid w:val="00F75F80"/>
    <w:rsid w:val="00F81D29"/>
    <w:rsid w:val="00F8354B"/>
    <w:rsid w:val="00F90BE5"/>
    <w:rsid w:val="00F91C4D"/>
    <w:rsid w:val="00F92FD9"/>
    <w:rsid w:val="00F95EDF"/>
    <w:rsid w:val="00FA37B1"/>
    <w:rsid w:val="00FA3E0B"/>
    <w:rsid w:val="00FA40CA"/>
    <w:rsid w:val="00FA5E20"/>
    <w:rsid w:val="00FA5EF7"/>
    <w:rsid w:val="00FA6157"/>
    <w:rsid w:val="00FA6684"/>
    <w:rsid w:val="00FA731E"/>
    <w:rsid w:val="00FA7BD0"/>
    <w:rsid w:val="00FB1095"/>
    <w:rsid w:val="00FB1DCF"/>
    <w:rsid w:val="00FB2B38"/>
    <w:rsid w:val="00FB602F"/>
    <w:rsid w:val="00FB61CE"/>
    <w:rsid w:val="00FB7A07"/>
    <w:rsid w:val="00FC04CC"/>
    <w:rsid w:val="00FC1F65"/>
    <w:rsid w:val="00FC2066"/>
    <w:rsid w:val="00FC6358"/>
    <w:rsid w:val="00FD1381"/>
    <w:rsid w:val="00FD320D"/>
    <w:rsid w:val="00FD522E"/>
    <w:rsid w:val="00FD6CCA"/>
    <w:rsid w:val="00FE1B98"/>
    <w:rsid w:val="00FE23DE"/>
    <w:rsid w:val="00FE653E"/>
    <w:rsid w:val="00FF00F7"/>
    <w:rsid w:val="00FF1801"/>
    <w:rsid w:val="00FF330A"/>
    <w:rsid w:val="00FF4EB3"/>
    <w:rsid w:val="00FF6842"/>
    <w:rsid w:val="00FF7997"/>
    <w:rsid w:val="0462095B"/>
    <w:rsid w:val="06064044"/>
    <w:rsid w:val="06D679AE"/>
    <w:rsid w:val="0AE172C5"/>
    <w:rsid w:val="0F9B0CB4"/>
    <w:rsid w:val="1246139A"/>
    <w:rsid w:val="1367270D"/>
    <w:rsid w:val="18095344"/>
    <w:rsid w:val="18613BEC"/>
    <w:rsid w:val="1AEC1E26"/>
    <w:rsid w:val="1B45317D"/>
    <w:rsid w:val="1FEE3382"/>
    <w:rsid w:val="210C2DC4"/>
    <w:rsid w:val="23203542"/>
    <w:rsid w:val="26604056"/>
    <w:rsid w:val="2BA4230B"/>
    <w:rsid w:val="2F5279B1"/>
    <w:rsid w:val="2FF7F050"/>
    <w:rsid w:val="32B23BF6"/>
    <w:rsid w:val="34B33B29"/>
    <w:rsid w:val="351B18C5"/>
    <w:rsid w:val="37DEDA51"/>
    <w:rsid w:val="39844DDF"/>
    <w:rsid w:val="3B2C6AFB"/>
    <w:rsid w:val="3BECBDE1"/>
    <w:rsid w:val="3DD3473B"/>
    <w:rsid w:val="3E6E240E"/>
    <w:rsid w:val="42D63EFB"/>
    <w:rsid w:val="43D23A86"/>
    <w:rsid w:val="447FE4D8"/>
    <w:rsid w:val="47304227"/>
    <w:rsid w:val="47FA7865"/>
    <w:rsid w:val="4AAD1396"/>
    <w:rsid w:val="51F3479F"/>
    <w:rsid w:val="541D3002"/>
    <w:rsid w:val="56E9366F"/>
    <w:rsid w:val="5AC43457"/>
    <w:rsid w:val="5BBF5F9B"/>
    <w:rsid w:val="5BCE014A"/>
    <w:rsid w:val="5CBD2CAE"/>
    <w:rsid w:val="5D7FF710"/>
    <w:rsid w:val="63345D31"/>
    <w:rsid w:val="633F7D7B"/>
    <w:rsid w:val="64BB5976"/>
    <w:rsid w:val="6D53CF38"/>
    <w:rsid w:val="6DE38292"/>
    <w:rsid w:val="6F0301A6"/>
    <w:rsid w:val="6FDF4D32"/>
    <w:rsid w:val="6FFBCA0E"/>
    <w:rsid w:val="6FFFCA1D"/>
    <w:rsid w:val="70A8482B"/>
    <w:rsid w:val="71CC3287"/>
    <w:rsid w:val="76DB5B60"/>
    <w:rsid w:val="7A5FEC13"/>
    <w:rsid w:val="7A7EB17C"/>
    <w:rsid w:val="7AFFC0AB"/>
    <w:rsid w:val="7D3E5C13"/>
    <w:rsid w:val="7DBFCDCC"/>
    <w:rsid w:val="7DF935B5"/>
    <w:rsid w:val="7DFAABC2"/>
    <w:rsid w:val="7E417D92"/>
    <w:rsid w:val="7FFEDEC1"/>
    <w:rsid w:val="7FFF3434"/>
    <w:rsid w:val="8FEB7C5C"/>
    <w:rsid w:val="AFFB137D"/>
    <w:rsid w:val="BDBE293E"/>
    <w:rsid w:val="BDFF894F"/>
    <w:rsid w:val="CD5BDCB0"/>
    <w:rsid w:val="DE2F0D90"/>
    <w:rsid w:val="DEF34486"/>
    <w:rsid w:val="E2FE4633"/>
    <w:rsid w:val="E779489F"/>
    <w:rsid w:val="EB7F3745"/>
    <w:rsid w:val="EE5B9EAD"/>
    <w:rsid w:val="EF6FCE5B"/>
    <w:rsid w:val="EF9B0240"/>
    <w:rsid w:val="EFF7496A"/>
    <w:rsid w:val="F25FE7F5"/>
    <w:rsid w:val="F3B7AB9D"/>
    <w:rsid w:val="F6EB17C5"/>
    <w:rsid w:val="F7FF0C3A"/>
    <w:rsid w:val="F83308BC"/>
    <w:rsid w:val="FB9F6C02"/>
    <w:rsid w:val="FBE2D01F"/>
    <w:rsid w:val="FDFFF2E5"/>
    <w:rsid w:val="FED9C201"/>
    <w:rsid w:val="FEDFA67A"/>
    <w:rsid w:val="FF9C9AB1"/>
    <w:rsid w:val="FFDF1155"/>
    <w:rsid w:val="FFEE3AD9"/>
    <w:rsid w:val="FFFABB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iPriority="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semiHidden="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3"/>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b/>
      <w:bCs/>
      <w:kern w:val="0"/>
      <w:sz w:val="24"/>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semiHidden/>
    <w:qFormat/>
    <w:uiPriority w:val="0"/>
    <w:pPr>
      <w:tabs>
        <w:tab w:val="right" w:leader="dot" w:pos="9241"/>
      </w:tabs>
      <w:ind w:firstLine="505" w:firstLineChars="500"/>
      <w:jc w:val="left"/>
    </w:pPr>
    <w:rPr>
      <w:rFonts w:ascii="宋体"/>
      <w:szCs w:val="21"/>
    </w:rPr>
  </w:style>
  <w:style w:type="paragraph" w:styleId="6">
    <w:name w:val="index 8"/>
    <w:basedOn w:val="1"/>
    <w:next w:val="1"/>
    <w:qFormat/>
    <w:uiPriority w:val="0"/>
    <w:pPr>
      <w:ind w:left="1680" w:hanging="210"/>
      <w:jc w:val="left"/>
    </w:pPr>
    <w:rPr>
      <w:rFonts w:ascii="Calibri" w:hAnsi="Calibri"/>
      <w:sz w:val="20"/>
      <w:szCs w:val="20"/>
    </w:rPr>
  </w:style>
  <w:style w:type="paragraph" w:styleId="7">
    <w:name w:val="caption"/>
    <w:basedOn w:val="1"/>
    <w:next w:val="1"/>
    <w:autoRedefine/>
    <w:qFormat/>
    <w:uiPriority w:val="0"/>
    <w:pPr>
      <w:spacing w:before="152" w:after="160"/>
    </w:pPr>
    <w:rPr>
      <w:rFonts w:ascii="Arial" w:hAnsi="Arial" w:eastAsia="黑体" w:cs="Arial"/>
      <w:sz w:val="20"/>
      <w:szCs w:val="20"/>
    </w:rPr>
  </w:style>
  <w:style w:type="paragraph" w:styleId="8">
    <w:name w:val="index 5"/>
    <w:basedOn w:val="1"/>
    <w:next w:val="1"/>
    <w:qFormat/>
    <w:uiPriority w:val="0"/>
    <w:pPr>
      <w:ind w:left="1050" w:hanging="210"/>
      <w:jc w:val="left"/>
    </w:pPr>
    <w:rPr>
      <w:rFonts w:ascii="Calibri" w:hAnsi="Calibri"/>
      <w:sz w:val="20"/>
      <w:szCs w:val="20"/>
    </w:rPr>
  </w:style>
  <w:style w:type="paragraph" w:styleId="9">
    <w:name w:val="Document Map"/>
    <w:basedOn w:val="1"/>
    <w:autoRedefine/>
    <w:semiHidden/>
    <w:qFormat/>
    <w:uiPriority w:val="0"/>
    <w:pPr>
      <w:shd w:val="clear" w:color="auto" w:fill="000080"/>
    </w:pPr>
  </w:style>
  <w:style w:type="paragraph" w:styleId="10">
    <w:name w:val="annotation text"/>
    <w:basedOn w:val="1"/>
    <w:link w:val="156"/>
    <w:autoRedefine/>
    <w:semiHidden/>
    <w:unhideWhenUsed/>
    <w:qFormat/>
    <w:uiPriority w:val="0"/>
    <w:pPr>
      <w:jc w:val="left"/>
    </w:pPr>
  </w:style>
  <w:style w:type="paragraph" w:styleId="11">
    <w:name w:val="index 6"/>
    <w:basedOn w:val="1"/>
    <w:next w:val="1"/>
    <w:autoRedefine/>
    <w:qFormat/>
    <w:uiPriority w:val="0"/>
    <w:pPr>
      <w:ind w:left="1260" w:hanging="210"/>
      <w:jc w:val="left"/>
    </w:pPr>
    <w:rPr>
      <w:rFonts w:ascii="Calibri" w:hAnsi="Calibri"/>
      <w:sz w:val="20"/>
      <w:szCs w:val="20"/>
    </w:rPr>
  </w:style>
  <w:style w:type="paragraph" w:styleId="12">
    <w:name w:val="index 4"/>
    <w:basedOn w:val="1"/>
    <w:next w:val="1"/>
    <w:autoRedefine/>
    <w:qFormat/>
    <w:uiPriority w:val="0"/>
    <w:pPr>
      <w:ind w:left="840" w:hanging="210"/>
      <w:jc w:val="left"/>
    </w:pPr>
    <w:rPr>
      <w:rFonts w:ascii="Calibri" w:hAnsi="Calibri"/>
      <w:sz w:val="20"/>
      <w:szCs w:val="20"/>
    </w:rPr>
  </w:style>
  <w:style w:type="paragraph" w:styleId="13">
    <w:name w:val="toc 5"/>
    <w:basedOn w:val="1"/>
    <w:next w:val="1"/>
    <w:semiHidden/>
    <w:qFormat/>
    <w:uiPriority w:val="0"/>
    <w:pPr>
      <w:tabs>
        <w:tab w:val="right" w:leader="dot" w:pos="9241"/>
      </w:tabs>
      <w:ind w:firstLine="300" w:firstLineChars="300"/>
      <w:jc w:val="left"/>
    </w:pPr>
    <w:rPr>
      <w:rFonts w:ascii="宋体"/>
      <w:szCs w:val="21"/>
    </w:rPr>
  </w:style>
  <w:style w:type="paragraph" w:styleId="14">
    <w:name w:val="toc 3"/>
    <w:basedOn w:val="1"/>
    <w:next w:val="1"/>
    <w:autoRedefine/>
    <w:qFormat/>
    <w:uiPriority w:val="39"/>
    <w:pPr>
      <w:tabs>
        <w:tab w:val="right" w:leader="dot" w:pos="9241"/>
      </w:tabs>
      <w:ind w:firstLine="102" w:firstLineChars="100"/>
      <w:jc w:val="left"/>
    </w:pPr>
    <w:rPr>
      <w:rFonts w:ascii="宋体"/>
      <w:szCs w:val="21"/>
    </w:rPr>
  </w:style>
  <w:style w:type="paragraph" w:styleId="15">
    <w:name w:val="toc 8"/>
    <w:basedOn w:val="1"/>
    <w:next w:val="1"/>
    <w:autoRedefine/>
    <w:semiHidden/>
    <w:qFormat/>
    <w:uiPriority w:val="0"/>
    <w:pPr>
      <w:tabs>
        <w:tab w:val="right" w:leader="dot" w:pos="9241"/>
      </w:tabs>
      <w:ind w:firstLine="607" w:firstLineChars="600"/>
      <w:jc w:val="left"/>
    </w:pPr>
    <w:rPr>
      <w:rFonts w:ascii="宋体"/>
      <w:szCs w:val="21"/>
    </w:rPr>
  </w:style>
  <w:style w:type="paragraph" w:styleId="16">
    <w:name w:val="index 3"/>
    <w:basedOn w:val="1"/>
    <w:next w:val="1"/>
    <w:qFormat/>
    <w:uiPriority w:val="0"/>
    <w:pPr>
      <w:ind w:left="630" w:hanging="210"/>
      <w:jc w:val="left"/>
    </w:pPr>
    <w:rPr>
      <w:rFonts w:ascii="Calibri" w:hAnsi="Calibri"/>
      <w:sz w:val="20"/>
      <w:szCs w:val="20"/>
    </w:rPr>
  </w:style>
  <w:style w:type="paragraph" w:styleId="17">
    <w:name w:val="endnote text"/>
    <w:basedOn w:val="1"/>
    <w:semiHidden/>
    <w:qFormat/>
    <w:uiPriority w:val="0"/>
    <w:pPr>
      <w:snapToGrid w:val="0"/>
      <w:jc w:val="left"/>
    </w:pPr>
  </w:style>
  <w:style w:type="paragraph" w:styleId="18">
    <w:name w:val="Balloon Text"/>
    <w:basedOn w:val="1"/>
    <w:link w:val="153"/>
    <w:qFormat/>
    <w:uiPriority w:val="0"/>
    <w:rPr>
      <w:sz w:val="18"/>
      <w:szCs w:val="18"/>
    </w:rPr>
  </w:style>
  <w:style w:type="paragraph" w:styleId="19">
    <w:name w:val="footer"/>
    <w:basedOn w:val="1"/>
    <w:qFormat/>
    <w:uiPriority w:val="0"/>
    <w:pPr>
      <w:snapToGrid w:val="0"/>
      <w:ind w:right="210" w:rightChars="100"/>
      <w:jc w:val="right"/>
    </w:pPr>
    <w:rPr>
      <w:sz w:val="18"/>
      <w:szCs w:val="18"/>
    </w:rPr>
  </w:style>
  <w:style w:type="paragraph" w:styleId="20">
    <w:name w:val="header"/>
    <w:basedOn w:val="1"/>
    <w:link w:val="158"/>
    <w:qFormat/>
    <w:uiPriority w:val="0"/>
    <w:pPr>
      <w:snapToGrid w:val="0"/>
      <w:jc w:val="left"/>
    </w:pPr>
    <w:rPr>
      <w:sz w:val="18"/>
      <w:szCs w:val="18"/>
    </w:rPr>
  </w:style>
  <w:style w:type="paragraph" w:styleId="21">
    <w:name w:val="toc 1"/>
    <w:basedOn w:val="1"/>
    <w:next w:val="1"/>
    <w:qFormat/>
    <w:uiPriority w:val="39"/>
    <w:pPr>
      <w:tabs>
        <w:tab w:val="right" w:leader="dot" w:pos="9241"/>
      </w:tabs>
      <w:spacing w:beforeLines="25" w:afterLines="25"/>
      <w:jc w:val="left"/>
    </w:pPr>
    <w:rPr>
      <w:rFonts w:ascii="宋体"/>
      <w:szCs w:val="21"/>
    </w:rPr>
  </w:style>
  <w:style w:type="paragraph" w:styleId="22">
    <w:name w:val="toc 4"/>
    <w:basedOn w:val="1"/>
    <w:next w:val="1"/>
    <w:semiHidden/>
    <w:qFormat/>
    <w:uiPriority w:val="0"/>
    <w:pPr>
      <w:tabs>
        <w:tab w:val="right" w:leader="dot" w:pos="9241"/>
      </w:tabs>
      <w:ind w:firstLine="198" w:firstLineChars="200"/>
      <w:jc w:val="left"/>
    </w:pPr>
    <w:rPr>
      <w:rFonts w:ascii="宋体"/>
      <w:szCs w:val="21"/>
    </w:rPr>
  </w:style>
  <w:style w:type="paragraph" w:styleId="23">
    <w:name w:val="index heading"/>
    <w:basedOn w:val="1"/>
    <w:next w:val="24"/>
    <w:qFormat/>
    <w:uiPriority w:val="0"/>
    <w:pPr>
      <w:spacing w:before="120" w:after="120"/>
      <w:jc w:val="center"/>
    </w:pPr>
    <w:rPr>
      <w:rFonts w:ascii="Calibri" w:hAnsi="Calibri"/>
      <w:b/>
      <w:bCs/>
      <w:iCs/>
      <w:szCs w:val="20"/>
    </w:rPr>
  </w:style>
  <w:style w:type="paragraph" w:styleId="24">
    <w:name w:val="index 1"/>
    <w:basedOn w:val="1"/>
    <w:next w:val="25"/>
    <w:qFormat/>
    <w:uiPriority w:val="0"/>
    <w:pPr>
      <w:tabs>
        <w:tab w:val="right" w:leader="dot" w:pos="9299"/>
      </w:tabs>
      <w:jc w:val="left"/>
    </w:pPr>
    <w:rPr>
      <w:rFonts w:ascii="宋体"/>
      <w:szCs w:val="21"/>
    </w:rPr>
  </w:style>
  <w:style w:type="paragraph" w:customStyle="1" w:styleId="25">
    <w:name w:val="段"/>
    <w:link w:val="77"/>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6">
    <w:name w:val="footnote text"/>
    <w:basedOn w:val="1"/>
    <w:qFormat/>
    <w:uiPriority w:val="0"/>
    <w:pPr>
      <w:numPr>
        <w:ilvl w:val="0"/>
        <w:numId w:val="1"/>
      </w:numPr>
      <w:snapToGrid w:val="0"/>
      <w:jc w:val="left"/>
    </w:pPr>
    <w:rPr>
      <w:rFonts w:ascii="宋体"/>
      <w:sz w:val="18"/>
      <w:szCs w:val="18"/>
    </w:rPr>
  </w:style>
  <w:style w:type="paragraph" w:styleId="27">
    <w:name w:val="toc 6"/>
    <w:basedOn w:val="1"/>
    <w:next w:val="1"/>
    <w:semiHidden/>
    <w:qFormat/>
    <w:uiPriority w:val="0"/>
    <w:pPr>
      <w:tabs>
        <w:tab w:val="right" w:leader="dot" w:pos="9241"/>
      </w:tabs>
      <w:ind w:firstLine="403" w:firstLineChars="400"/>
      <w:jc w:val="left"/>
    </w:pPr>
    <w:rPr>
      <w:rFonts w:ascii="宋体"/>
      <w:szCs w:val="21"/>
    </w:rPr>
  </w:style>
  <w:style w:type="paragraph" w:styleId="28">
    <w:name w:val="index 7"/>
    <w:basedOn w:val="1"/>
    <w:next w:val="1"/>
    <w:qFormat/>
    <w:uiPriority w:val="0"/>
    <w:pPr>
      <w:ind w:left="1470" w:hanging="210"/>
      <w:jc w:val="left"/>
    </w:pPr>
    <w:rPr>
      <w:rFonts w:ascii="Calibri" w:hAnsi="Calibri"/>
      <w:sz w:val="20"/>
      <w:szCs w:val="20"/>
    </w:rPr>
  </w:style>
  <w:style w:type="paragraph" w:styleId="29">
    <w:name w:val="index 9"/>
    <w:basedOn w:val="1"/>
    <w:next w:val="1"/>
    <w:qFormat/>
    <w:uiPriority w:val="0"/>
    <w:pPr>
      <w:ind w:left="1890" w:hanging="210"/>
      <w:jc w:val="left"/>
    </w:pPr>
    <w:rPr>
      <w:rFonts w:ascii="Calibri" w:hAnsi="Calibri"/>
      <w:sz w:val="20"/>
      <w:szCs w:val="20"/>
    </w:rPr>
  </w:style>
  <w:style w:type="paragraph" w:styleId="30">
    <w:name w:val="toc 2"/>
    <w:basedOn w:val="1"/>
    <w:next w:val="1"/>
    <w:qFormat/>
    <w:uiPriority w:val="39"/>
    <w:pPr>
      <w:tabs>
        <w:tab w:val="right" w:leader="dot" w:pos="9241"/>
      </w:tabs>
    </w:pPr>
    <w:rPr>
      <w:rFonts w:ascii="宋体"/>
      <w:szCs w:val="21"/>
    </w:rPr>
  </w:style>
  <w:style w:type="paragraph" w:styleId="31">
    <w:name w:val="toc 9"/>
    <w:basedOn w:val="1"/>
    <w:next w:val="1"/>
    <w:semiHidden/>
    <w:qFormat/>
    <w:uiPriority w:val="0"/>
    <w:pPr>
      <w:ind w:left="1470"/>
      <w:jc w:val="left"/>
    </w:pPr>
    <w:rPr>
      <w:sz w:val="20"/>
      <w:szCs w:val="20"/>
    </w:rPr>
  </w:style>
  <w:style w:type="paragraph" w:styleId="32">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3">
    <w:name w:val="Normal (Web)"/>
    <w:basedOn w:val="1"/>
    <w:semiHidden/>
    <w:unhideWhenUsed/>
    <w:qFormat/>
    <w:uiPriority w:val="0"/>
    <w:rPr>
      <w:sz w:val="24"/>
    </w:rPr>
  </w:style>
  <w:style w:type="paragraph" w:styleId="34">
    <w:name w:val="index 2"/>
    <w:basedOn w:val="1"/>
    <w:next w:val="1"/>
    <w:qFormat/>
    <w:uiPriority w:val="0"/>
    <w:pPr>
      <w:ind w:left="420" w:hanging="210"/>
      <w:jc w:val="left"/>
    </w:pPr>
    <w:rPr>
      <w:rFonts w:ascii="Calibri" w:hAnsi="Calibri"/>
      <w:sz w:val="20"/>
      <w:szCs w:val="20"/>
    </w:rPr>
  </w:style>
  <w:style w:type="paragraph" w:styleId="35">
    <w:name w:val="annotation subject"/>
    <w:basedOn w:val="10"/>
    <w:next w:val="10"/>
    <w:link w:val="157"/>
    <w:semiHidden/>
    <w:unhideWhenUsed/>
    <w:qFormat/>
    <w:uiPriority w:val="0"/>
    <w:rPr>
      <w:b/>
      <w:bCs/>
    </w:rPr>
  </w:style>
  <w:style w:type="table" w:styleId="37">
    <w:name w:val="Table Grid"/>
    <w:basedOn w:val="36"/>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
    <w:name w:val="endnote reference"/>
    <w:semiHidden/>
    <w:qFormat/>
    <w:uiPriority w:val="0"/>
    <w:rPr>
      <w:vertAlign w:val="superscript"/>
    </w:rPr>
  </w:style>
  <w:style w:type="character" w:styleId="40">
    <w:name w:val="page number"/>
    <w:qFormat/>
    <w:uiPriority w:val="0"/>
    <w:rPr>
      <w:rFonts w:ascii="Times New Roman" w:hAnsi="Times New Roman" w:eastAsia="宋体"/>
      <w:sz w:val="18"/>
    </w:rPr>
  </w:style>
  <w:style w:type="character" w:styleId="41">
    <w:name w:val="FollowedHyperlink"/>
    <w:qFormat/>
    <w:uiPriority w:val="0"/>
    <w:rPr>
      <w:color w:val="800080"/>
      <w:u w:val="single"/>
    </w:rPr>
  </w:style>
  <w:style w:type="character" w:styleId="42">
    <w:name w:val="Emphasis"/>
    <w:basedOn w:val="38"/>
    <w:qFormat/>
    <w:uiPriority w:val="20"/>
    <w:rPr>
      <w:i/>
      <w:iCs/>
    </w:rPr>
  </w:style>
  <w:style w:type="character" w:styleId="43">
    <w:name w:val="Hyperlink"/>
    <w:qFormat/>
    <w:uiPriority w:val="99"/>
    <w:rPr>
      <w:color w:val="0000FF"/>
      <w:spacing w:val="0"/>
      <w:w w:val="100"/>
      <w:szCs w:val="21"/>
      <w:u w:val="single"/>
    </w:rPr>
  </w:style>
  <w:style w:type="character" w:styleId="44">
    <w:name w:val="annotation reference"/>
    <w:basedOn w:val="38"/>
    <w:semiHidden/>
    <w:unhideWhenUsed/>
    <w:qFormat/>
    <w:uiPriority w:val="0"/>
    <w:rPr>
      <w:sz w:val="21"/>
      <w:szCs w:val="21"/>
    </w:rPr>
  </w:style>
  <w:style w:type="character" w:styleId="45">
    <w:name w:val="footnote reference"/>
    <w:semiHidden/>
    <w:qFormat/>
    <w:uiPriority w:val="0"/>
    <w:rPr>
      <w:vertAlign w:val="superscript"/>
    </w:rPr>
  </w:style>
  <w:style w:type="character" w:customStyle="1" w:styleId="46">
    <w:name w:val="标题 1 字符"/>
    <w:basedOn w:val="38"/>
    <w:link w:val="2"/>
    <w:qFormat/>
    <w:uiPriority w:val="0"/>
    <w:rPr>
      <w:b/>
      <w:bCs/>
      <w:kern w:val="44"/>
      <w:sz w:val="44"/>
      <w:szCs w:val="44"/>
    </w:rPr>
  </w:style>
  <w:style w:type="paragraph" w:customStyle="1" w:styleId="47">
    <w:name w:val="标准文件_二级无标题"/>
    <w:basedOn w:val="48"/>
    <w:qFormat/>
    <w:uiPriority w:val="0"/>
    <w:pPr>
      <w:spacing w:before="0" w:beforeLines="0" w:after="0" w:afterLines="0"/>
      <w:outlineLvl w:val="9"/>
    </w:pPr>
    <w:rPr>
      <w:rFonts w:ascii="宋体" w:eastAsia="宋体"/>
    </w:rPr>
  </w:style>
  <w:style w:type="paragraph" w:customStyle="1" w:styleId="48">
    <w:name w:val="标准文件_二级条标题"/>
    <w:next w:val="4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49">
    <w:name w:val="标准文件_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0">
    <w:name w:val="标准文件_章标题"/>
    <w:next w:val="49"/>
    <w:qFormat/>
    <w:uiPriority w:val="0"/>
    <w:pPr>
      <w:numPr>
        <w:ilvl w:val="1"/>
        <w:numId w:val="3"/>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51">
    <w:name w:val="标准文件_一级条标题"/>
    <w:basedOn w:val="50"/>
    <w:next w:val="49"/>
    <w:qFormat/>
    <w:uiPriority w:val="0"/>
    <w:pPr>
      <w:numPr>
        <w:ilvl w:val="2"/>
      </w:numPr>
      <w:spacing w:before="50" w:beforeLines="50" w:after="50" w:afterLines="50"/>
      <w:outlineLvl w:val="1"/>
    </w:pPr>
  </w:style>
  <w:style w:type="paragraph" w:customStyle="1" w:styleId="52">
    <w:name w:val="封面标准文稿类别"/>
    <w:basedOn w:val="53"/>
    <w:qFormat/>
    <w:uiPriority w:val="0"/>
    <w:pPr>
      <w:framePr w:wrap="around"/>
      <w:spacing w:after="160" w:line="240" w:lineRule="auto"/>
    </w:pPr>
    <w:rPr>
      <w:sz w:val="24"/>
    </w:rPr>
  </w:style>
  <w:style w:type="paragraph" w:customStyle="1" w:styleId="53">
    <w:name w:val="封面一致性程度标识"/>
    <w:basedOn w:val="54"/>
    <w:qFormat/>
    <w:uiPriority w:val="0"/>
    <w:pPr>
      <w:framePr w:wrap="around"/>
      <w:spacing w:before="440"/>
    </w:pPr>
    <w:rPr>
      <w:rFonts w:ascii="宋体" w:eastAsia="宋体"/>
    </w:rPr>
  </w:style>
  <w:style w:type="paragraph" w:customStyle="1" w:styleId="54">
    <w:name w:val="封面标准英文名称"/>
    <w:basedOn w:val="55"/>
    <w:qFormat/>
    <w:uiPriority w:val="0"/>
    <w:pPr>
      <w:framePr w:wrap="around"/>
      <w:spacing w:before="370" w:line="400" w:lineRule="exact"/>
    </w:pPr>
    <w:rPr>
      <w:rFonts w:ascii="Times New Roman"/>
      <w:sz w:val="28"/>
      <w:szCs w:val="28"/>
    </w:rPr>
  </w:style>
  <w:style w:type="paragraph" w:customStyle="1" w:styleId="55">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6">
    <w:name w:val="一级条标题"/>
    <w:next w:val="25"/>
    <w:qFormat/>
    <w:uiPriority w:val="0"/>
    <w:pPr>
      <w:numPr>
        <w:ilvl w:val="1"/>
        <w:numId w:val="4"/>
      </w:numPr>
      <w:spacing w:beforeLines="50" w:afterLines="50"/>
      <w:outlineLvl w:val="2"/>
    </w:pPr>
    <w:rPr>
      <w:rFonts w:ascii="黑体" w:hAnsi="Times New Roman" w:eastAsia="黑体" w:cs="Times New Roman"/>
      <w:sz w:val="21"/>
      <w:szCs w:val="21"/>
      <w:lang w:val="en-US" w:eastAsia="zh-CN" w:bidi="ar-SA"/>
    </w:rPr>
  </w:style>
  <w:style w:type="paragraph" w:customStyle="1" w:styleId="57">
    <w:name w:val="章标题"/>
    <w:next w:val="25"/>
    <w:qFormat/>
    <w:uiPriority w:val="0"/>
    <w:pPr>
      <w:numPr>
        <w:ilvl w:val="0"/>
        <w:numId w:val="4"/>
      </w:numPr>
      <w:spacing w:beforeLines="100" w:afterLines="100"/>
      <w:jc w:val="both"/>
      <w:outlineLvl w:val="1"/>
    </w:pPr>
    <w:rPr>
      <w:rFonts w:ascii="黑体" w:hAnsi="Times New Roman" w:eastAsia="黑体" w:cs="Times New Roman"/>
      <w:sz w:val="21"/>
      <w:lang w:val="en-US" w:eastAsia="zh-CN" w:bidi="ar-SA"/>
    </w:rPr>
  </w:style>
  <w:style w:type="paragraph" w:customStyle="1" w:styleId="58">
    <w:name w:val="二级条标题"/>
    <w:basedOn w:val="56"/>
    <w:next w:val="25"/>
    <w:qFormat/>
    <w:uiPriority w:val="0"/>
    <w:pPr>
      <w:numPr>
        <w:ilvl w:val="2"/>
      </w:numPr>
      <w:spacing w:before="50" w:after="50"/>
      <w:outlineLvl w:val="3"/>
    </w:pPr>
  </w:style>
  <w:style w:type="paragraph" w:customStyle="1" w:styleId="59">
    <w:name w:val="三级条标题"/>
    <w:basedOn w:val="58"/>
    <w:next w:val="25"/>
    <w:qFormat/>
    <w:uiPriority w:val="0"/>
    <w:pPr>
      <w:numPr>
        <w:ilvl w:val="3"/>
      </w:numPr>
      <w:outlineLvl w:val="4"/>
    </w:pPr>
  </w:style>
  <w:style w:type="paragraph" w:customStyle="1" w:styleId="60">
    <w:name w:val="四级条标题"/>
    <w:basedOn w:val="59"/>
    <w:next w:val="25"/>
    <w:qFormat/>
    <w:uiPriority w:val="0"/>
    <w:pPr>
      <w:numPr>
        <w:ilvl w:val="4"/>
      </w:numPr>
      <w:outlineLvl w:val="5"/>
    </w:pPr>
  </w:style>
  <w:style w:type="paragraph" w:customStyle="1" w:styleId="61">
    <w:name w:val="五级条标题"/>
    <w:basedOn w:val="60"/>
    <w:next w:val="25"/>
    <w:qFormat/>
    <w:uiPriority w:val="0"/>
    <w:pPr>
      <w:numPr>
        <w:ilvl w:val="5"/>
      </w:numPr>
      <w:outlineLvl w:val="6"/>
    </w:pPr>
  </w:style>
  <w:style w:type="paragraph" w:customStyle="1" w:styleId="62">
    <w:name w:val="前言、引言标题"/>
    <w:next w:val="25"/>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character" w:customStyle="1" w:styleId="63">
    <w:name w:val="标题 2 字符"/>
    <w:basedOn w:val="38"/>
    <w:link w:val="3"/>
    <w:qFormat/>
    <w:uiPriority w:val="0"/>
    <w:rPr>
      <w:rFonts w:asciiTheme="majorHAnsi" w:hAnsiTheme="majorHAnsi" w:eastAsiaTheme="majorEastAsia" w:cstheme="majorBidi"/>
      <w:b/>
      <w:bCs/>
      <w:kern w:val="2"/>
      <w:sz w:val="32"/>
      <w:szCs w:val="32"/>
    </w:rPr>
  </w:style>
  <w:style w:type="paragraph" w:customStyle="1" w:styleId="64">
    <w:name w:val="二级无"/>
    <w:basedOn w:val="58"/>
    <w:qFormat/>
    <w:uiPriority w:val="0"/>
    <w:pPr>
      <w:spacing w:beforeLines="0" w:afterLines="0"/>
    </w:pPr>
    <w:rPr>
      <w:rFonts w:ascii="宋体" w:eastAsia="宋体"/>
    </w:rPr>
  </w:style>
  <w:style w:type="paragraph" w:customStyle="1" w:styleId="65">
    <w:name w:val="三级无"/>
    <w:basedOn w:val="59"/>
    <w:qFormat/>
    <w:uiPriority w:val="0"/>
    <w:pPr>
      <w:spacing w:beforeLines="0" w:afterLines="0"/>
    </w:pPr>
    <w:rPr>
      <w:rFonts w:ascii="宋体" w:eastAsia="宋体"/>
    </w:rPr>
  </w:style>
  <w:style w:type="paragraph" w:customStyle="1" w:styleId="66">
    <w:name w:val="一级无"/>
    <w:basedOn w:val="56"/>
    <w:qFormat/>
    <w:uiPriority w:val="0"/>
    <w:pPr>
      <w:spacing w:beforeLines="0" w:afterLines="0"/>
    </w:pPr>
    <w:rPr>
      <w:rFonts w:ascii="宋体" w:eastAsia="宋体"/>
    </w:rPr>
  </w:style>
  <w:style w:type="paragraph" w:customStyle="1" w:styleId="67">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68">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69">
    <w:name w:val="编号列项（三级）"/>
    <w:qFormat/>
    <w:uiPriority w:val="0"/>
    <w:pPr>
      <w:numPr>
        <w:ilvl w:val="2"/>
        <w:numId w:val="5"/>
      </w:numPr>
      <w:tabs>
        <w:tab w:val="left" w:pos="0"/>
      </w:tabs>
    </w:pPr>
    <w:rPr>
      <w:rFonts w:ascii="宋体" w:hAnsi="Times New Roman" w:eastAsia="宋体" w:cs="Times New Roman"/>
      <w:sz w:val="21"/>
      <w:lang w:val="en-US" w:eastAsia="zh-CN" w:bidi="ar-SA"/>
    </w:rPr>
  </w:style>
  <w:style w:type="paragraph" w:customStyle="1" w:styleId="70">
    <w:name w:val="附录标识"/>
    <w:basedOn w:val="1"/>
    <w:next w:val="25"/>
    <w:qFormat/>
    <w:uiPriority w:val="0"/>
    <w:pPr>
      <w:keepNext/>
      <w:pageBreakBefore/>
      <w:widowControl/>
      <w:numPr>
        <w:ilvl w:val="0"/>
        <w:numId w:val="6"/>
      </w:numPr>
      <w:shd w:val="clear" w:color="FFFFFF" w:fill="FFFFFF"/>
      <w:tabs>
        <w:tab w:val="left" w:pos="360"/>
        <w:tab w:val="left" w:pos="6405"/>
      </w:tabs>
      <w:spacing w:before="640"/>
      <w:jc w:val="center"/>
      <w:outlineLvl w:val="0"/>
    </w:pPr>
    <w:rPr>
      <w:rFonts w:ascii="Songti SC Black" w:hAnsi="Songti SC Black" w:eastAsia="Songti SC Black"/>
      <w:kern w:val="0"/>
      <w:szCs w:val="20"/>
    </w:rPr>
  </w:style>
  <w:style w:type="paragraph" w:customStyle="1" w:styleId="71">
    <w:name w:val="附录章标题"/>
    <w:next w:val="25"/>
    <w:qFormat/>
    <w:uiPriority w:val="0"/>
    <w:pPr>
      <w:numPr>
        <w:ilvl w:val="1"/>
        <w:numId w:val="6"/>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72">
    <w:name w:val="附录一级条标题"/>
    <w:basedOn w:val="71"/>
    <w:next w:val="25"/>
    <w:qFormat/>
    <w:uiPriority w:val="0"/>
    <w:pPr>
      <w:numPr>
        <w:ilvl w:val="2"/>
      </w:numPr>
      <w:autoSpaceDN w:val="0"/>
      <w:spacing w:beforeLines="50" w:afterLines="50"/>
      <w:outlineLvl w:val="2"/>
    </w:pPr>
  </w:style>
  <w:style w:type="paragraph" w:customStyle="1" w:styleId="73">
    <w:name w:val="附录二级条标题"/>
    <w:basedOn w:val="1"/>
    <w:next w:val="25"/>
    <w:qFormat/>
    <w:uiPriority w:val="0"/>
    <w:pPr>
      <w:widowControl/>
      <w:numPr>
        <w:ilvl w:val="3"/>
        <w:numId w:val="6"/>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74">
    <w:name w:val="附录三级条标题"/>
    <w:basedOn w:val="73"/>
    <w:next w:val="25"/>
    <w:qFormat/>
    <w:uiPriority w:val="0"/>
    <w:pPr>
      <w:numPr>
        <w:ilvl w:val="4"/>
      </w:numPr>
      <w:outlineLvl w:val="4"/>
    </w:pPr>
  </w:style>
  <w:style w:type="paragraph" w:customStyle="1" w:styleId="75">
    <w:name w:val="附录四级条标题"/>
    <w:basedOn w:val="74"/>
    <w:next w:val="25"/>
    <w:qFormat/>
    <w:uiPriority w:val="0"/>
    <w:pPr>
      <w:numPr>
        <w:ilvl w:val="5"/>
      </w:numPr>
      <w:outlineLvl w:val="5"/>
    </w:pPr>
  </w:style>
  <w:style w:type="paragraph" w:customStyle="1" w:styleId="76">
    <w:name w:val="附录五级条标题"/>
    <w:basedOn w:val="75"/>
    <w:next w:val="25"/>
    <w:qFormat/>
    <w:uiPriority w:val="0"/>
    <w:pPr>
      <w:numPr>
        <w:ilvl w:val="6"/>
      </w:numPr>
      <w:outlineLvl w:val="6"/>
    </w:pPr>
  </w:style>
  <w:style w:type="character" w:customStyle="1" w:styleId="77">
    <w:name w:val="段 Char"/>
    <w:link w:val="25"/>
    <w:qFormat/>
    <w:uiPriority w:val="0"/>
    <w:rPr>
      <w:rFonts w:ascii="宋体"/>
      <w:sz w:val="21"/>
      <w:lang w:val="en-US" w:eastAsia="zh-CN" w:bidi="ar-SA"/>
    </w:rPr>
  </w:style>
  <w:style w:type="paragraph" w:customStyle="1" w:styleId="78">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79">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80">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81">
    <w:name w:val="列项——（一级）"/>
    <w:autoRedefine/>
    <w:qFormat/>
    <w:uiPriority w:val="0"/>
    <w:pPr>
      <w:widowControl w:val="0"/>
      <w:ind w:left="833" w:hanging="408"/>
      <w:jc w:val="both"/>
    </w:pPr>
    <w:rPr>
      <w:rFonts w:ascii="宋体" w:hAnsi="Times New Roman" w:eastAsia="宋体" w:cs="Times New Roman"/>
      <w:sz w:val="21"/>
      <w:lang w:val="en-US" w:eastAsia="zh-CN" w:bidi="ar-SA"/>
    </w:rPr>
  </w:style>
  <w:style w:type="paragraph" w:customStyle="1" w:styleId="82">
    <w:name w:val="列项●（二级）"/>
    <w:qFormat/>
    <w:uiPriority w:val="0"/>
    <w:pPr>
      <w:numPr>
        <w:ilvl w:val="1"/>
        <w:numId w:val="7"/>
      </w:numPr>
      <w:tabs>
        <w:tab w:val="left" w:pos="840"/>
      </w:tabs>
      <w:jc w:val="both"/>
    </w:pPr>
    <w:rPr>
      <w:rFonts w:ascii="宋体" w:hAnsi="Times New Roman" w:eastAsia="宋体" w:cs="Times New Roman"/>
      <w:sz w:val="21"/>
      <w:lang w:val="en-US" w:eastAsia="zh-CN" w:bidi="ar-SA"/>
    </w:rPr>
  </w:style>
  <w:style w:type="paragraph" w:customStyle="1" w:styleId="83">
    <w:name w:val="目次、标准名称标题"/>
    <w:basedOn w:val="1"/>
    <w:next w:val="25"/>
    <w:link w:val="151"/>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84">
    <w:name w:val="示例"/>
    <w:next w:val="85"/>
    <w:qFormat/>
    <w:uiPriority w:val="0"/>
    <w:pPr>
      <w:widowControl w:val="0"/>
      <w:numPr>
        <w:ilvl w:val="0"/>
        <w:numId w:val="8"/>
      </w:numPr>
      <w:jc w:val="both"/>
    </w:pPr>
    <w:rPr>
      <w:rFonts w:ascii="宋体" w:hAnsi="Times New Roman" w:eastAsia="宋体" w:cs="Times New Roman"/>
      <w:sz w:val="18"/>
      <w:szCs w:val="18"/>
      <w:lang w:val="en-US" w:eastAsia="zh-CN" w:bidi="ar-SA"/>
    </w:rPr>
  </w:style>
  <w:style w:type="paragraph" w:customStyle="1" w:styleId="85">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86">
    <w:name w:val="注："/>
    <w:next w:val="25"/>
    <w:qFormat/>
    <w:uiPriority w:val="0"/>
    <w:pPr>
      <w:widowControl w:val="0"/>
      <w:numPr>
        <w:ilvl w:val="0"/>
        <w:numId w:val="9"/>
      </w:numPr>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87">
    <w:name w:val="注×："/>
    <w:qFormat/>
    <w:uiPriority w:val="0"/>
    <w:pPr>
      <w:widowControl w:val="0"/>
      <w:numPr>
        <w:ilvl w:val="0"/>
        <w:numId w:val="10"/>
      </w:numPr>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88">
    <w:name w:val="列项◆（三级）"/>
    <w:basedOn w:val="1"/>
    <w:qFormat/>
    <w:uiPriority w:val="0"/>
    <w:pPr>
      <w:numPr>
        <w:ilvl w:val="2"/>
        <w:numId w:val="7"/>
      </w:numPr>
    </w:pPr>
    <w:rPr>
      <w:rFonts w:ascii="宋体"/>
      <w:szCs w:val="21"/>
    </w:rPr>
  </w:style>
  <w:style w:type="paragraph" w:customStyle="1" w:styleId="89">
    <w:name w:val="示例×："/>
    <w:basedOn w:val="57"/>
    <w:qFormat/>
    <w:uiPriority w:val="0"/>
    <w:pPr>
      <w:numPr>
        <w:numId w:val="11"/>
      </w:numPr>
      <w:spacing w:beforeLines="0" w:afterLines="0"/>
      <w:outlineLvl w:val="9"/>
    </w:pPr>
    <w:rPr>
      <w:rFonts w:ascii="宋体" w:eastAsia="宋体"/>
      <w:sz w:val="18"/>
      <w:szCs w:val="18"/>
    </w:rPr>
  </w:style>
  <w:style w:type="paragraph" w:customStyle="1" w:styleId="90">
    <w:name w:val="注：（正文）"/>
    <w:basedOn w:val="86"/>
    <w:next w:val="25"/>
    <w:qFormat/>
    <w:uiPriority w:val="0"/>
    <w:pPr>
      <w:numPr>
        <w:numId w:val="12"/>
      </w:numPr>
      <w:ind w:left="726" w:hanging="363"/>
    </w:pPr>
  </w:style>
  <w:style w:type="paragraph" w:customStyle="1" w:styleId="91">
    <w:name w:val="注×：（正文）"/>
    <w:qFormat/>
    <w:uiPriority w:val="0"/>
    <w:pPr>
      <w:numPr>
        <w:ilvl w:val="0"/>
        <w:numId w:val="13"/>
      </w:numPr>
      <w:ind w:left="811" w:hanging="448"/>
      <w:jc w:val="both"/>
    </w:pPr>
    <w:rPr>
      <w:rFonts w:ascii="宋体" w:hAnsi="Times New Roman" w:eastAsia="宋体" w:cs="Times New Roman"/>
      <w:sz w:val="18"/>
      <w:szCs w:val="18"/>
      <w:lang w:val="en-US" w:eastAsia="zh-CN" w:bidi="ar-SA"/>
    </w:rPr>
  </w:style>
  <w:style w:type="paragraph" w:customStyle="1" w:styleId="92">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93">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94">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95">
    <w:name w:val="标准书眉_偶数页"/>
    <w:basedOn w:val="79"/>
    <w:next w:val="1"/>
    <w:autoRedefine/>
    <w:qFormat/>
    <w:uiPriority w:val="0"/>
    <w:pPr>
      <w:jc w:val="left"/>
    </w:pPr>
    <w:rPr>
      <w:rFonts w:hAnsi="黑体"/>
    </w:rPr>
  </w:style>
  <w:style w:type="paragraph" w:customStyle="1" w:styleId="96">
    <w:name w:val="标准书眉一"/>
    <w:autoRedefine/>
    <w:qFormat/>
    <w:uiPriority w:val="0"/>
    <w:pPr>
      <w:jc w:val="both"/>
    </w:pPr>
    <w:rPr>
      <w:rFonts w:ascii="Times New Roman" w:hAnsi="Times New Roman" w:eastAsia="宋体" w:cs="Times New Roman"/>
      <w:lang w:val="en-US" w:eastAsia="zh-CN" w:bidi="ar-SA"/>
    </w:rPr>
  </w:style>
  <w:style w:type="paragraph" w:customStyle="1" w:styleId="97">
    <w:name w:val="参考文献"/>
    <w:basedOn w:val="1"/>
    <w:next w:val="25"/>
    <w:qFormat/>
    <w:uiPriority w:val="0"/>
    <w:pPr>
      <w:keepNext/>
      <w:widowControl/>
      <w:numPr>
        <w:ilvl w:val="0"/>
        <w:numId w:val="14"/>
      </w:numPr>
      <w:shd w:val="clear" w:color="FFFFFF" w:fill="FFFFFF"/>
      <w:spacing w:line="240" w:lineRule="atLeast"/>
      <w:ind w:firstLine="200" w:firstLineChars="200"/>
      <w:jc w:val="left"/>
      <w:outlineLvl w:val="0"/>
    </w:pPr>
    <w:rPr>
      <w:rFonts w:ascii="黑体" w:hAnsi="黑体" w:eastAsia="黑体"/>
      <w:kern w:val="0"/>
      <w:szCs w:val="20"/>
    </w:rPr>
  </w:style>
  <w:style w:type="paragraph" w:customStyle="1" w:styleId="98">
    <w:name w:val="参考文献、索引标题"/>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99">
    <w:name w:val="发布"/>
    <w:qFormat/>
    <w:uiPriority w:val="0"/>
    <w:rPr>
      <w:rFonts w:ascii="黑体" w:eastAsia="黑体"/>
      <w:spacing w:val="85"/>
      <w:w w:val="100"/>
      <w:position w:val="3"/>
      <w:sz w:val="28"/>
      <w:szCs w:val="28"/>
    </w:rPr>
  </w:style>
  <w:style w:type="paragraph" w:customStyle="1" w:styleId="100">
    <w:name w:val="发布部门"/>
    <w:next w:val="25"/>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01">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02">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103">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04">
    <w:name w:val="封面标准文稿编辑信息"/>
    <w:basedOn w:val="52"/>
    <w:qFormat/>
    <w:uiPriority w:val="0"/>
    <w:pPr>
      <w:framePr w:wrap="around"/>
      <w:spacing w:before="180" w:line="180" w:lineRule="exact"/>
    </w:pPr>
    <w:rPr>
      <w:sz w:val="21"/>
    </w:rPr>
  </w:style>
  <w:style w:type="paragraph" w:customStyle="1" w:styleId="105">
    <w:name w:val="封面正文"/>
    <w:qFormat/>
    <w:uiPriority w:val="0"/>
    <w:pPr>
      <w:jc w:val="both"/>
    </w:pPr>
    <w:rPr>
      <w:rFonts w:ascii="Times New Roman" w:hAnsi="Times New Roman" w:eastAsia="宋体" w:cs="Times New Roman"/>
      <w:lang w:val="en-US" w:eastAsia="zh-CN" w:bidi="ar-SA"/>
    </w:rPr>
  </w:style>
  <w:style w:type="paragraph" w:customStyle="1" w:styleId="106">
    <w:name w:val="附录标题"/>
    <w:basedOn w:val="25"/>
    <w:next w:val="25"/>
    <w:link w:val="167"/>
    <w:qFormat/>
    <w:uiPriority w:val="0"/>
    <w:pPr>
      <w:ind w:firstLine="0" w:firstLineChars="0"/>
      <w:jc w:val="center"/>
    </w:pPr>
    <w:rPr>
      <w:rFonts w:ascii="黑体" w:eastAsia="黑体"/>
    </w:rPr>
  </w:style>
  <w:style w:type="paragraph" w:customStyle="1" w:styleId="107">
    <w:name w:val="附录表标号"/>
    <w:basedOn w:val="1"/>
    <w:next w:val="25"/>
    <w:qFormat/>
    <w:uiPriority w:val="0"/>
    <w:pPr>
      <w:numPr>
        <w:ilvl w:val="0"/>
        <w:numId w:val="15"/>
      </w:numPr>
      <w:tabs>
        <w:tab w:val="clear" w:pos="0"/>
      </w:tabs>
      <w:spacing w:line="14" w:lineRule="exact"/>
      <w:ind w:left="811" w:hanging="448"/>
      <w:jc w:val="center"/>
      <w:outlineLvl w:val="0"/>
    </w:pPr>
    <w:rPr>
      <w:color w:val="FFFFFF"/>
    </w:rPr>
  </w:style>
  <w:style w:type="paragraph" w:customStyle="1" w:styleId="108">
    <w:name w:val="附录表标题"/>
    <w:basedOn w:val="1"/>
    <w:next w:val="25"/>
    <w:qFormat/>
    <w:uiPriority w:val="0"/>
    <w:pPr>
      <w:numPr>
        <w:ilvl w:val="1"/>
        <w:numId w:val="15"/>
      </w:numPr>
      <w:tabs>
        <w:tab w:val="left" w:pos="180"/>
      </w:tabs>
      <w:spacing w:beforeLines="50" w:afterLines="50"/>
      <w:ind w:left="0" w:firstLine="0"/>
      <w:jc w:val="center"/>
    </w:pPr>
    <w:rPr>
      <w:rFonts w:ascii="黑体" w:eastAsia="黑体"/>
      <w:szCs w:val="21"/>
    </w:rPr>
  </w:style>
  <w:style w:type="paragraph" w:customStyle="1" w:styleId="109">
    <w:name w:val="附录二级无"/>
    <w:basedOn w:val="73"/>
    <w:qFormat/>
    <w:uiPriority w:val="0"/>
    <w:pPr>
      <w:tabs>
        <w:tab w:val="clear" w:pos="360"/>
      </w:tabs>
      <w:spacing w:beforeLines="0" w:afterLines="0"/>
    </w:pPr>
    <w:rPr>
      <w:rFonts w:ascii="宋体" w:eastAsia="宋体"/>
      <w:szCs w:val="21"/>
    </w:rPr>
  </w:style>
  <w:style w:type="paragraph" w:customStyle="1" w:styleId="110">
    <w:name w:val="附录公式"/>
    <w:basedOn w:val="25"/>
    <w:next w:val="25"/>
    <w:link w:val="111"/>
    <w:qFormat/>
    <w:uiPriority w:val="0"/>
  </w:style>
  <w:style w:type="character" w:customStyle="1" w:styleId="111">
    <w:name w:val="附录公式 Char"/>
    <w:basedOn w:val="77"/>
    <w:link w:val="110"/>
    <w:qFormat/>
    <w:uiPriority w:val="0"/>
    <w:rPr>
      <w:rFonts w:ascii="宋体"/>
      <w:sz w:val="21"/>
      <w:lang w:val="en-US" w:eastAsia="zh-CN" w:bidi="ar-SA"/>
    </w:rPr>
  </w:style>
  <w:style w:type="paragraph" w:customStyle="1" w:styleId="112">
    <w:name w:val="附录公式编号制表符"/>
    <w:basedOn w:val="1"/>
    <w:next w:val="25"/>
    <w:qFormat/>
    <w:uiPriority w:val="0"/>
    <w:pPr>
      <w:widowControl/>
      <w:tabs>
        <w:tab w:val="center" w:pos="4201"/>
        <w:tab w:val="right" w:leader="dot" w:pos="9298"/>
      </w:tabs>
      <w:autoSpaceDE w:val="0"/>
      <w:autoSpaceDN w:val="0"/>
    </w:pPr>
    <w:rPr>
      <w:rFonts w:ascii="宋体"/>
      <w:kern w:val="0"/>
      <w:szCs w:val="20"/>
    </w:rPr>
  </w:style>
  <w:style w:type="paragraph" w:customStyle="1" w:styleId="113">
    <w:name w:val="附录三级无"/>
    <w:basedOn w:val="74"/>
    <w:qFormat/>
    <w:uiPriority w:val="0"/>
    <w:pPr>
      <w:tabs>
        <w:tab w:val="clear" w:pos="360"/>
      </w:tabs>
      <w:spacing w:beforeLines="0" w:afterLines="0"/>
    </w:pPr>
    <w:rPr>
      <w:rFonts w:ascii="宋体" w:eastAsia="宋体"/>
      <w:szCs w:val="21"/>
    </w:rPr>
  </w:style>
  <w:style w:type="paragraph" w:customStyle="1" w:styleId="114">
    <w:name w:val="附录数字编号列项（二级）"/>
    <w:qFormat/>
    <w:uiPriority w:val="0"/>
    <w:pPr>
      <w:numPr>
        <w:ilvl w:val="1"/>
        <w:numId w:val="16"/>
      </w:numPr>
    </w:pPr>
    <w:rPr>
      <w:rFonts w:ascii="宋体" w:hAnsi="Times New Roman" w:eastAsia="宋体" w:cs="Times New Roman"/>
      <w:sz w:val="21"/>
      <w:lang w:val="en-US" w:eastAsia="zh-CN" w:bidi="ar-SA"/>
    </w:rPr>
  </w:style>
  <w:style w:type="paragraph" w:customStyle="1" w:styleId="115">
    <w:name w:val="附录四级无"/>
    <w:basedOn w:val="75"/>
    <w:qFormat/>
    <w:uiPriority w:val="0"/>
    <w:pPr>
      <w:tabs>
        <w:tab w:val="clear" w:pos="360"/>
      </w:tabs>
      <w:spacing w:beforeLines="0" w:afterLines="0"/>
    </w:pPr>
    <w:rPr>
      <w:rFonts w:ascii="宋体" w:eastAsia="宋体"/>
      <w:szCs w:val="21"/>
    </w:rPr>
  </w:style>
  <w:style w:type="paragraph" w:customStyle="1" w:styleId="116">
    <w:name w:val="附录图标号"/>
    <w:basedOn w:val="1"/>
    <w:qFormat/>
    <w:uiPriority w:val="0"/>
    <w:pPr>
      <w:keepNext/>
      <w:pageBreakBefore/>
      <w:widowControl/>
      <w:numPr>
        <w:ilvl w:val="0"/>
        <w:numId w:val="17"/>
      </w:numPr>
      <w:spacing w:line="14" w:lineRule="exact"/>
      <w:ind w:left="0" w:firstLine="363"/>
      <w:jc w:val="center"/>
      <w:outlineLvl w:val="0"/>
    </w:pPr>
    <w:rPr>
      <w:color w:val="FFFFFF"/>
    </w:rPr>
  </w:style>
  <w:style w:type="paragraph" w:customStyle="1" w:styleId="117">
    <w:name w:val="附录图标题"/>
    <w:basedOn w:val="1"/>
    <w:next w:val="25"/>
    <w:qFormat/>
    <w:uiPriority w:val="0"/>
    <w:pPr>
      <w:numPr>
        <w:ilvl w:val="1"/>
        <w:numId w:val="17"/>
      </w:numPr>
      <w:tabs>
        <w:tab w:val="left" w:pos="363"/>
      </w:tabs>
      <w:spacing w:beforeLines="50" w:afterLines="50"/>
      <w:ind w:left="0" w:firstLine="0"/>
      <w:jc w:val="center"/>
    </w:pPr>
    <w:rPr>
      <w:rFonts w:ascii="黑体" w:eastAsia="黑体"/>
      <w:szCs w:val="21"/>
    </w:rPr>
  </w:style>
  <w:style w:type="paragraph" w:customStyle="1" w:styleId="118">
    <w:name w:val="附录五级无"/>
    <w:basedOn w:val="76"/>
    <w:qFormat/>
    <w:uiPriority w:val="0"/>
    <w:pPr>
      <w:tabs>
        <w:tab w:val="clear" w:pos="360"/>
      </w:tabs>
      <w:spacing w:beforeLines="0" w:afterLines="0"/>
    </w:pPr>
    <w:rPr>
      <w:rFonts w:ascii="宋体" w:eastAsia="宋体"/>
      <w:szCs w:val="21"/>
    </w:rPr>
  </w:style>
  <w:style w:type="paragraph" w:customStyle="1" w:styleId="119">
    <w:name w:val="附录一级无"/>
    <w:basedOn w:val="72"/>
    <w:qFormat/>
    <w:uiPriority w:val="0"/>
    <w:pPr>
      <w:tabs>
        <w:tab w:val="clear" w:pos="360"/>
      </w:tabs>
      <w:spacing w:beforeLines="0" w:afterLines="0"/>
    </w:pPr>
    <w:rPr>
      <w:rFonts w:ascii="宋体" w:eastAsia="宋体"/>
      <w:szCs w:val="21"/>
    </w:rPr>
  </w:style>
  <w:style w:type="paragraph" w:customStyle="1" w:styleId="120">
    <w:name w:val="附录字母编号列项（一级）"/>
    <w:qFormat/>
    <w:uiPriority w:val="0"/>
    <w:pPr>
      <w:tabs>
        <w:tab w:val="left" w:pos="839"/>
      </w:tabs>
    </w:pPr>
    <w:rPr>
      <w:rFonts w:ascii="宋体" w:hAnsi="Times New Roman" w:eastAsia="宋体" w:cs="Times New Roman"/>
      <w:sz w:val="21"/>
      <w:lang w:val="en-US" w:eastAsia="zh-CN" w:bidi="ar-SA"/>
    </w:rPr>
  </w:style>
  <w:style w:type="paragraph" w:customStyle="1" w:styleId="121">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22">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2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24">
    <w:name w:val="其他标准标志"/>
    <w:basedOn w:val="92"/>
    <w:qFormat/>
    <w:uiPriority w:val="0"/>
    <w:pPr>
      <w:framePr w:w="6101" w:wrap="around" w:vAnchor="page" w:hAnchor="page" w:x="4673" w:y="942"/>
    </w:pPr>
    <w:rPr>
      <w:w w:val="130"/>
    </w:rPr>
  </w:style>
  <w:style w:type="paragraph" w:customStyle="1" w:styleId="125">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26">
    <w:name w:val="其他发布部门"/>
    <w:basedOn w:val="100"/>
    <w:qFormat/>
    <w:uiPriority w:val="0"/>
    <w:pPr>
      <w:framePr w:wrap="around" w:y="15310"/>
      <w:spacing w:line="0" w:lineRule="atLeast"/>
    </w:pPr>
    <w:rPr>
      <w:rFonts w:ascii="黑体" w:eastAsia="黑体"/>
      <w:b w:val="0"/>
    </w:rPr>
  </w:style>
  <w:style w:type="paragraph" w:customStyle="1" w:styleId="127">
    <w:name w:val="实施日期"/>
    <w:qFormat/>
    <w:uiPriority w:val="0"/>
    <w:pPr>
      <w:framePr w:w="3997" w:h="471" w:hRule="exact" w:vSpace="181" w:wrap="around" w:vAnchor="page" w:hAnchor="page" w:x="7089" w:y="14097"/>
      <w:jc w:val="right"/>
    </w:pPr>
    <w:rPr>
      <w:rFonts w:ascii="Times New Roman" w:hAnsi="Times New Roman" w:eastAsia="黑体" w:cs="Times New Roman"/>
      <w:sz w:val="28"/>
      <w:lang w:val="en-US" w:eastAsia="zh-CN" w:bidi="ar-SA"/>
    </w:rPr>
  </w:style>
  <w:style w:type="paragraph" w:customStyle="1" w:styleId="128">
    <w:name w:val="示例后文字"/>
    <w:basedOn w:val="25"/>
    <w:next w:val="25"/>
    <w:qFormat/>
    <w:uiPriority w:val="0"/>
    <w:pPr>
      <w:ind w:firstLine="360"/>
    </w:pPr>
    <w:rPr>
      <w:sz w:val="18"/>
    </w:rPr>
  </w:style>
  <w:style w:type="paragraph" w:customStyle="1" w:styleId="129">
    <w:name w:val="首示例"/>
    <w:next w:val="25"/>
    <w:link w:val="130"/>
    <w:qFormat/>
    <w:uiPriority w:val="0"/>
    <w:pPr>
      <w:tabs>
        <w:tab w:val="left" w:pos="360"/>
      </w:tabs>
    </w:pPr>
    <w:rPr>
      <w:rFonts w:ascii="宋体" w:hAnsi="宋体" w:eastAsia="宋体" w:cs="Times New Roman"/>
      <w:kern w:val="2"/>
      <w:sz w:val="18"/>
      <w:szCs w:val="18"/>
      <w:lang w:val="en-US" w:eastAsia="zh-CN" w:bidi="ar-SA"/>
    </w:rPr>
  </w:style>
  <w:style w:type="character" w:customStyle="1" w:styleId="130">
    <w:name w:val="首示例 Char"/>
    <w:link w:val="129"/>
    <w:qFormat/>
    <w:uiPriority w:val="0"/>
    <w:rPr>
      <w:rFonts w:ascii="宋体" w:hAnsi="宋体"/>
      <w:kern w:val="2"/>
      <w:sz w:val="18"/>
      <w:szCs w:val="18"/>
    </w:rPr>
  </w:style>
  <w:style w:type="paragraph" w:customStyle="1" w:styleId="131">
    <w:name w:val="四级无"/>
    <w:basedOn w:val="60"/>
    <w:qFormat/>
    <w:uiPriority w:val="0"/>
    <w:pPr>
      <w:spacing w:beforeLines="0" w:afterLines="0"/>
    </w:pPr>
    <w:rPr>
      <w:rFonts w:ascii="宋体" w:eastAsia="宋体"/>
    </w:rPr>
  </w:style>
  <w:style w:type="paragraph" w:customStyle="1" w:styleId="132">
    <w:name w:val="条文脚注"/>
    <w:basedOn w:val="26"/>
    <w:qFormat/>
    <w:uiPriority w:val="0"/>
    <w:pPr>
      <w:numPr>
        <w:numId w:val="0"/>
      </w:numPr>
      <w:jc w:val="both"/>
    </w:pPr>
  </w:style>
  <w:style w:type="paragraph" w:customStyle="1" w:styleId="133">
    <w:name w:val="图标脚注说明"/>
    <w:basedOn w:val="25"/>
    <w:qFormat/>
    <w:uiPriority w:val="0"/>
    <w:pPr>
      <w:ind w:left="840" w:hanging="420" w:firstLineChars="0"/>
    </w:pPr>
    <w:rPr>
      <w:sz w:val="18"/>
      <w:szCs w:val="18"/>
    </w:rPr>
  </w:style>
  <w:style w:type="paragraph" w:customStyle="1" w:styleId="134">
    <w:name w:val="图表脚注说明"/>
    <w:basedOn w:val="1"/>
    <w:qFormat/>
    <w:uiPriority w:val="0"/>
    <w:pPr>
      <w:numPr>
        <w:ilvl w:val="0"/>
        <w:numId w:val="18"/>
      </w:numPr>
    </w:pPr>
    <w:rPr>
      <w:rFonts w:ascii="宋体"/>
      <w:sz w:val="18"/>
      <w:szCs w:val="18"/>
    </w:rPr>
  </w:style>
  <w:style w:type="paragraph" w:customStyle="1" w:styleId="135">
    <w:name w:val="图的脚注"/>
    <w:next w:val="25"/>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36">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37">
    <w:name w:val="五级无"/>
    <w:basedOn w:val="61"/>
    <w:qFormat/>
    <w:uiPriority w:val="0"/>
    <w:pPr>
      <w:spacing w:beforeLines="0" w:afterLines="0"/>
    </w:pPr>
    <w:rPr>
      <w:rFonts w:ascii="宋体" w:eastAsia="宋体"/>
    </w:rPr>
  </w:style>
  <w:style w:type="paragraph" w:customStyle="1" w:styleId="138">
    <w:name w:val="正文表标题"/>
    <w:next w:val="25"/>
    <w:qFormat/>
    <w:uiPriority w:val="0"/>
    <w:pPr>
      <w:numPr>
        <w:ilvl w:val="0"/>
        <w:numId w:val="19"/>
      </w:numPr>
      <w:spacing w:beforeLines="50" w:afterLines="50"/>
      <w:jc w:val="center"/>
    </w:pPr>
    <w:rPr>
      <w:rFonts w:ascii="黑体" w:hAnsi="Times New Roman" w:eastAsia="黑体" w:cs="Times New Roman"/>
      <w:sz w:val="21"/>
      <w:lang w:val="en-US" w:eastAsia="zh-CN" w:bidi="ar-SA"/>
    </w:rPr>
  </w:style>
  <w:style w:type="paragraph" w:customStyle="1" w:styleId="139">
    <w:name w:val="正文公式编号制表符"/>
    <w:basedOn w:val="25"/>
    <w:next w:val="25"/>
    <w:qFormat/>
    <w:uiPriority w:val="0"/>
    <w:pPr>
      <w:ind w:firstLine="0" w:firstLineChars="0"/>
    </w:pPr>
  </w:style>
  <w:style w:type="paragraph" w:customStyle="1" w:styleId="140">
    <w:name w:val="正文图标题"/>
    <w:next w:val="25"/>
    <w:qFormat/>
    <w:uiPriority w:val="0"/>
    <w:pPr>
      <w:numPr>
        <w:ilvl w:val="0"/>
        <w:numId w:val="20"/>
      </w:numPr>
      <w:spacing w:beforeLines="50" w:afterLines="50"/>
      <w:jc w:val="center"/>
    </w:pPr>
    <w:rPr>
      <w:rFonts w:ascii="黑体" w:hAnsi="Times New Roman" w:eastAsia="黑体" w:cs="Times New Roman"/>
      <w:sz w:val="21"/>
      <w:lang w:val="en-US" w:eastAsia="zh-CN" w:bidi="ar-SA"/>
    </w:rPr>
  </w:style>
  <w:style w:type="paragraph" w:customStyle="1" w:styleId="141">
    <w:name w:val="终结线"/>
    <w:basedOn w:val="1"/>
    <w:qFormat/>
    <w:uiPriority w:val="0"/>
    <w:pPr>
      <w:framePr w:hSpace="181" w:vSpace="181" w:wrap="around" w:vAnchor="text" w:hAnchor="margin" w:xAlign="center" w:y="285"/>
    </w:pPr>
  </w:style>
  <w:style w:type="paragraph" w:customStyle="1" w:styleId="142">
    <w:name w:val="其他发布日期"/>
    <w:qFormat/>
    <w:uiPriority w:val="0"/>
    <w:pPr>
      <w:framePr w:w="3997" w:h="471" w:hRule="exact" w:vSpace="181" w:wrap="around" w:vAnchor="page" w:hAnchor="page" w:x="1419" w:y="14097" w:anchorLock="1"/>
    </w:pPr>
    <w:rPr>
      <w:rFonts w:ascii="Times New Roman" w:hAnsi="Times New Roman" w:eastAsia="黑体" w:cs="Times New Roman"/>
      <w:sz w:val="28"/>
      <w:lang w:val="en-US" w:eastAsia="zh-CN" w:bidi="ar-SA"/>
    </w:rPr>
  </w:style>
  <w:style w:type="paragraph" w:customStyle="1" w:styleId="143">
    <w:name w:val="其他实施日期"/>
    <w:basedOn w:val="127"/>
    <w:qFormat/>
    <w:uiPriority w:val="0"/>
    <w:pPr>
      <w:framePr w:wrap="around"/>
    </w:pPr>
  </w:style>
  <w:style w:type="paragraph" w:customStyle="1" w:styleId="144">
    <w:name w:val="封面标准名称2"/>
    <w:basedOn w:val="55"/>
    <w:qFormat/>
    <w:uiPriority w:val="0"/>
    <w:pPr>
      <w:framePr w:wrap="around" w:y="4469"/>
      <w:spacing w:beforeLines="630"/>
    </w:pPr>
  </w:style>
  <w:style w:type="paragraph" w:customStyle="1" w:styleId="145">
    <w:name w:val="封面标准英文名称2"/>
    <w:basedOn w:val="54"/>
    <w:qFormat/>
    <w:uiPriority w:val="0"/>
    <w:pPr>
      <w:framePr w:wrap="around" w:y="4469"/>
    </w:pPr>
  </w:style>
  <w:style w:type="paragraph" w:customStyle="1" w:styleId="146">
    <w:name w:val="封面一致性程度标识2"/>
    <w:basedOn w:val="53"/>
    <w:qFormat/>
    <w:uiPriority w:val="0"/>
    <w:pPr>
      <w:framePr w:wrap="around" w:y="4469"/>
    </w:pPr>
  </w:style>
  <w:style w:type="paragraph" w:customStyle="1" w:styleId="147">
    <w:name w:val="封面标准文稿类别2"/>
    <w:basedOn w:val="52"/>
    <w:qFormat/>
    <w:uiPriority w:val="0"/>
    <w:pPr>
      <w:framePr w:wrap="around" w:y="4469"/>
    </w:pPr>
  </w:style>
  <w:style w:type="paragraph" w:customStyle="1" w:styleId="148">
    <w:name w:val="封面标准文稿编辑信息2"/>
    <w:basedOn w:val="104"/>
    <w:qFormat/>
    <w:uiPriority w:val="0"/>
    <w:pPr>
      <w:framePr w:wrap="around" w:y="4469"/>
    </w:pPr>
  </w:style>
  <w:style w:type="paragraph" w:customStyle="1" w:styleId="149">
    <w:name w:val="标准名称"/>
    <w:basedOn w:val="83"/>
    <w:link w:val="152"/>
    <w:qFormat/>
    <w:uiPriority w:val="0"/>
  </w:style>
  <w:style w:type="character" w:customStyle="1" w:styleId="150">
    <w:name w:val="占位符文本1"/>
    <w:basedOn w:val="38"/>
    <w:semiHidden/>
    <w:qFormat/>
    <w:uiPriority w:val="99"/>
    <w:rPr>
      <w:color w:val="808080"/>
    </w:rPr>
  </w:style>
  <w:style w:type="character" w:customStyle="1" w:styleId="151">
    <w:name w:val="目次、标准名称标题 Char"/>
    <w:basedOn w:val="38"/>
    <w:link w:val="83"/>
    <w:qFormat/>
    <w:uiPriority w:val="0"/>
    <w:rPr>
      <w:rFonts w:ascii="黑体" w:eastAsia="黑体"/>
      <w:sz w:val="32"/>
      <w:shd w:val="clear" w:color="FFFFFF" w:fill="FFFFFF"/>
    </w:rPr>
  </w:style>
  <w:style w:type="character" w:customStyle="1" w:styleId="152">
    <w:name w:val="标准名称 Char"/>
    <w:basedOn w:val="151"/>
    <w:link w:val="149"/>
    <w:qFormat/>
    <w:uiPriority w:val="0"/>
    <w:rPr>
      <w:rFonts w:ascii="黑体" w:eastAsia="黑体"/>
      <w:sz w:val="32"/>
      <w:shd w:val="clear" w:color="FFFFFF" w:fill="FFFFFF"/>
    </w:rPr>
  </w:style>
  <w:style w:type="character" w:customStyle="1" w:styleId="153">
    <w:name w:val="批注框文本 字符"/>
    <w:basedOn w:val="38"/>
    <w:link w:val="18"/>
    <w:qFormat/>
    <w:uiPriority w:val="0"/>
    <w:rPr>
      <w:kern w:val="2"/>
      <w:sz w:val="18"/>
      <w:szCs w:val="18"/>
    </w:rPr>
  </w:style>
  <w:style w:type="paragraph" w:customStyle="1" w:styleId="154">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styleId="155">
    <w:name w:val="List Paragraph"/>
    <w:basedOn w:val="1"/>
    <w:qFormat/>
    <w:uiPriority w:val="99"/>
    <w:pPr>
      <w:ind w:firstLine="420" w:firstLineChars="200"/>
    </w:pPr>
  </w:style>
  <w:style w:type="character" w:customStyle="1" w:styleId="156">
    <w:name w:val="批注文字 字符"/>
    <w:basedOn w:val="38"/>
    <w:link w:val="10"/>
    <w:semiHidden/>
    <w:qFormat/>
    <w:uiPriority w:val="0"/>
    <w:rPr>
      <w:kern w:val="2"/>
      <w:sz w:val="21"/>
      <w:szCs w:val="24"/>
    </w:rPr>
  </w:style>
  <w:style w:type="character" w:customStyle="1" w:styleId="157">
    <w:name w:val="批注主题 字符"/>
    <w:basedOn w:val="156"/>
    <w:link w:val="35"/>
    <w:semiHidden/>
    <w:qFormat/>
    <w:uiPriority w:val="0"/>
    <w:rPr>
      <w:b/>
      <w:bCs/>
      <w:kern w:val="2"/>
      <w:sz w:val="21"/>
      <w:szCs w:val="24"/>
    </w:rPr>
  </w:style>
  <w:style w:type="character" w:customStyle="1" w:styleId="158">
    <w:name w:val="页眉 字符"/>
    <w:basedOn w:val="38"/>
    <w:link w:val="20"/>
    <w:qFormat/>
    <w:uiPriority w:val="0"/>
    <w:rPr>
      <w:kern w:val="2"/>
      <w:sz w:val="18"/>
      <w:szCs w:val="18"/>
    </w:rPr>
  </w:style>
  <w:style w:type="character" w:customStyle="1" w:styleId="159">
    <w:name w:val="未处理的提及1"/>
    <w:basedOn w:val="38"/>
    <w:semiHidden/>
    <w:unhideWhenUsed/>
    <w:qFormat/>
    <w:uiPriority w:val="99"/>
    <w:rPr>
      <w:color w:val="605E5C"/>
      <w:shd w:val="clear" w:color="auto" w:fill="E1DFDD"/>
    </w:rPr>
  </w:style>
  <w:style w:type="paragraph" w:customStyle="1" w:styleId="16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1">
    <w:name w:val="标准文件_术语条一"/>
    <w:basedOn w:val="162"/>
    <w:next w:val="49"/>
    <w:qFormat/>
    <w:uiPriority w:val="0"/>
  </w:style>
  <w:style w:type="paragraph" w:customStyle="1" w:styleId="162">
    <w:name w:val="标准文件_一级无标题"/>
    <w:basedOn w:val="51"/>
    <w:qFormat/>
    <w:uiPriority w:val="0"/>
    <w:pPr>
      <w:spacing w:before="0" w:beforeLines="0" w:after="0" w:afterLines="0"/>
      <w:outlineLvl w:val="9"/>
    </w:pPr>
    <w:rPr>
      <w:rFonts w:ascii="宋体" w:eastAsia="宋体"/>
    </w:rPr>
  </w:style>
  <w:style w:type="paragraph" w:customStyle="1" w:styleId="163">
    <w:name w:val="标准文件_一级项"/>
    <w:qFormat/>
    <w:uiPriority w:val="0"/>
    <w:pPr>
      <w:numPr>
        <w:ilvl w:val="0"/>
        <w:numId w:val="7"/>
      </w:numPr>
    </w:pPr>
    <w:rPr>
      <w:rFonts w:ascii="宋体" w:hAnsi="Times New Roman" w:eastAsia="宋体" w:cs="Times New Roman"/>
      <w:sz w:val="21"/>
      <w:lang w:val="en-US" w:eastAsia="zh-CN" w:bidi="ar-SA"/>
    </w:rPr>
  </w:style>
  <w:style w:type="paragraph" w:customStyle="1" w:styleId="164">
    <w:name w:val="标准文件_正文表标题"/>
    <w:next w:val="49"/>
    <w:qFormat/>
    <w:uiPriority w:val="0"/>
    <w:pPr>
      <w:numPr>
        <w:ilvl w:val="0"/>
        <w:numId w:val="21"/>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65">
    <w:name w:val="标准文件_表格"/>
    <w:basedOn w:val="49"/>
    <w:qFormat/>
    <w:uiPriority w:val="0"/>
    <w:pPr>
      <w:ind w:firstLine="0" w:firstLineChars="0"/>
      <w:jc w:val="center"/>
    </w:pPr>
    <w:rPr>
      <w:sz w:val="18"/>
    </w:rPr>
  </w:style>
  <w:style w:type="paragraph" w:customStyle="1" w:styleId="166">
    <w:name w:val="标准文件_目录标题"/>
    <w:basedOn w:val="1"/>
    <w:qFormat/>
    <w:uiPriority w:val="0"/>
    <w:pPr>
      <w:spacing w:before="480" w:after="150" w:afterLines="150" w:line="240" w:lineRule="auto"/>
      <w:jc w:val="center"/>
    </w:pPr>
    <w:rPr>
      <w:rFonts w:ascii="黑体" w:eastAsia="黑体"/>
      <w:sz w:val="32"/>
    </w:rPr>
  </w:style>
  <w:style w:type="character" w:customStyle="1" w:styleId="167">
    <w:name w:val="附录标题 Char"/>
    <w:link w:val="106"/>
    <w:qFormat/>
    <w:uiPriority w:val="0"/>
    <w:rPr>
      <w:rFonts w:ascii="黑体" w:eastAsia="黑体"/>
    </w:rPr>
  </w:style>
  <w:style w:type="paragraph" w:customStyle="1" w:styleId="168">
    <w:name w:val="标准文件_附录标识"/>
    <w:next w:val="49"/>
    <w:qFormat/>
    <w:uiPriority w:val="0"/>
    <w:pPr>
      <w:numPr>
        <w:ilvl w:val="0"/>
        <w:numId w:val="6"/>
      </w:numPr>
      <w:shd w:val="clear" w:color="FFFFFF" w:fill="FFFFFF"/>
      <w:spacing w:before="560" w:after="50" w:afterLines="50"/>
      <w:jc w:val="center"/>
      <w:outlineLvl w:val="0"/>
    </w:pPr>
    <w:rPr>
      <w:rFonts w:ascii="黑体" w:hAnsi="Times New Roman" w:eastAsia="黑体" w:cs="Times New Roman"/>
      <w:sz w:val="21"/>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microsoft.com/office/2006/relationships/keyMapCustomizations" Target="customizations.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D26DE-8CA9-4819-8A07-DED7621525B0}">
  <ds:schemaRefs/>
</ds:datastoreItem>
</file>

<file path=docProps/app.xml><?xml version="1.0" encoding="utf-8"?>
<Properties xmlns="http://schemas.openxmlformats.org/officeDocument/2006/extended-properties" xmlns:vt="http://schemas.openxmlformats.org/officeDocument/2006/docPropsVTypes">
  <Template>Normal</Template>
  <Company>zle</Company>
  <Pages>16</Pages>
  <Words>7466</Words>
  <Characters>8060</Characters>
  <Lines>583</Lines>
  <Paragraphs>407</Paragraphs>
  <TotalTime>0</TotalTime>
  <ScaleCrop>false</ScaleCrop>
  <LinksUpToDate>false</LinksUpToDate>
  <CharactersWithSpaces>8308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2026-10-14T09:34:00Z</dcterms:created>
  <dc:creator>CNIS</dc:creator>
  <cp:lastModifiedBy>娟子</cp:lastModifiedBy>
  <cp:lastPrinted>2020-12-25T09:36:00Z</cp:lastPrinted>
  <dcterms:modified xsi:type="dcterms:W3CDTF">2026-10-15T03:41:28Z</dcterms:modified>
  <dc:title>标准名称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5AD22841D3F742A1A96F403D95DEA9A1_13</vt:lpwstr>
  </property>
  <property fmtid="{D5CDD505-2E9C-101B-9397-08002B2CF9AE}" pid="4" name="KSOTemplateDocerSaveRecord">
    <vt:lpwstr>eyJoZGlkIjoiMjZkMjIyNGU3N2U2YTYwZjRlM2JkM2NkZTVlZmZlMjkiLCJ1c2VySWQiOiIzNzA5NTM0ODkifQ==</vt:lpwstr>
  </property>
</Properties>
</file>