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A5B01C">
      <w:pPr>
        <w:jc w:val="center"/>
        <w:rPr>
          <w:rFonts w:hint="eastAsia" w:ascii="华文中宋" w:hAnsi="华文中宋" w:eastAsia="华文中宋"/>
          <w:sz w:val="44"/>
          <w:szCs w:val="44"/>
        </w:rPr>
      </w:pPr>
      <w:r>
        <w:rPr>
          <w:rFonts w:hint="eastAsia" w:ascii="华文中宋" w:hAnsi="华文中宋" w:eastAsia="华文中宋"/>
          <w:sz w:val="44"/>
          <w:szCs w:val="44"/>
        </w:rPr>
        <w:t>《认知障碍相关乐龄玩具的应用指南》</w:t>
      </w:r>
    </w:p>
    <w:p w14:paraId="5918F361">
      <w:pPr>
        <w:jc w:val="center"/>
        <w:rPr>
          <w:rFonts w:hint="eastAsia" w:ascii="华文中宋" w:hAnsi="华文中宋" w:eastAsia="华文中宋"/>
          <w:sz w:val="44"/>
          <w:szCs w:val="44"/>
        </w:rPr>
      </w:pPr>
      <w:r>
        <w:rPr>
          <w:rFonts w:hint="eastAsia" w:ascii="华文中宋" w:hAnsi="华文中宋" w:eastAsia="华文中宋"/>
          <w:sz w:val="44"/>
          <w:szCs w:val="44"/>
          <w:lang w:eastAsia="zh-CN"/>
        </w:rPr>
        <w:t>团体</w:t>
      </w:r>
      <w:r>
        <w:rPr>
          <w:rFonts w:hint="eastAsia" w:ascii="华文中宋" w:hAnsi="华文中宋" w:eastAsia="华文中宋"/>
          <w:sz w:val="44"/>
          <w:szCs w:val="44"/>
        </w:rPr>
        <w:t>标准编制说明</w:t>
      </w:r>
    </w:p>
    <w:p w14:paraId="131073A1">
      <w:pPr>
        <w:rPr>
          <w:rFonts w:hint="eastAsia"/>
          <w:sz w:val="32"/>
        </w:rPr>
      </w:pPr>
    </w:p>
    <w:p w14:paraId="7EF9E231">
      <w:pPr>
        <w:numPr>
          <w:ilvl w:val="0"/>
          <w:numId w:val="0"/>
        </w:numPr>
        <w:ind w:left="0" w:leftChars="0" w:firstLine="640" w:firstLineChars="200"/>
        <w:rPr>
          <w:rFonts w:hint="eastAsia" w:ascii="黑体" w:hAnsi="黑体" w:eastAsia="黑体" w:cs="黑体"/>
          <w:sz w:val="32"/>
        </w:rPr>
      </w:pPr>
      <w:r>
        <w:rPr>
          <w:rFonts w:hint="eastAsia" w:ascii="黑体" w:hAnsi="黑体" w:eastAsia="黑体" w:cs="黑体"/>
          <w:kern w:val="2"/>
          <w:sz w:val="32"/>
          <w:szCs w:val="24"/>
          <w:lang w:val="en-US" w:eastAsia="zh-CN" w:bidi="ar-SA"/>
        </w:rPr>
        <w:t>一、</w:t>
      </w:r>
      <w:r>
        <w:rPr>
          <w:rFonts w:hint="eastAsia" w:ascii="黑体" w:hAnsi="黑体" w:eastAsia="黑体" w:cs="黑体"/>
          <w:sz w:val="32"/>
        </w:rPr>
        <w:t>任务来源，起草单位，协作单位，主要起草人。</w:t>
      </w:r>
    </w:p>
    <w:p w14:paraId="066F1A28">
      <w:pPr>
        <w:keepNext w:val="0"/>
        <w:keepLines w:val="0"/>
        <w:pageBreakBefore w:val="0"/>
        <w:widowControl w:val="0"/>
        <w:numPr>
          <w:ilvl w:val="0"/>
          <w:numId w:val="0"/>
        </w:numPr>
        <w:kinsoku/>
        <w:wordWrap/>
        <w:overflowPunct/>
        <w:topLinePunct w:val="0"/>
        <w:autoSpaceDE/>
        <w:autoSpaceDN/>
        <w:bidi w:val="0"/>
        <w:adjustRightInd/>
        <w:snapToGrid/>
        <w:ind w:left="0" w:leftChars="0" w:firstLine="640" w:firstLineChars="200"/>
        <w:textAlignment w:val="auto"/>
        <w:rPr>
          <w:rFonts w:hint="eastAsia" w:ascii="仿宋_GB2312" w:eastAsia="仿宋_GB2312"/>
          <w:color w:val="auto"/>
          <w:sz w:val="32"/>
          <w:lang w:val="en-US" w:eastAsia="zh-CN"/>
        </w:rPr>
      </w:pPr>
      <w:r>
        <w:rPr>
          <w:rFonts w:hint="eastAsia" w:ascii="仿宋_GB2312" w:eastAsia="仿宋_GB2312"/>
          <w:color w:val="auto"/>
          <w:sz w:val="32"/>
          <w:lang w:val="en-US" w:eastAsia="zh-CN"/>
        </w:rPr>
        <w:t>本团体标准项目来源于“一老一小”乐龄玩具校企合作开发项目，由北京标准化协会立项，项目聚焦认知障碍人群乐龄玩具，重点针对智能乐龄玩具开展技术研究，同时覆盖“一老一小”代际共玩应用场景。</w:t>
      </w:r>
    </w:p>
    <w:p w14:paraId="57D4BDF0">
      <w:pPr>
        <w:keepNext w:val="0"/>
        <w:keepLines w:val="0"/>
        <w:pageBreakBefore w:val="0"/>
        <w:widowControl w:val="0"/>
        <w:numPr>
          <w:ilvl w:val="0"/>
          <w:numId w:val="0"/>
        </w:numPr>
        <w:kinsoku/>
        <w:wordWrap/>
        <w:overflowPunct/>
        <w:topLinePunct w:val="0"/>
        <w:autoSpaceDE/>
        <w:autoSpaceDN/>
        <w:bidi w:val="0"/>
        <w:adjustRightInd/>
        <w:snapToGrid/>
        <w:ind w:left="0" w:leftChars="0" w:firstLine="640" w:firstLineChars="200"/>
        <w:textAlignment w:val="auto"/>
        <w:rPr>
          <w:rFonts w:hint="eastAsia" w:ascii="仿宋_GB2312" w:eastAsia="仿宋_GB2312"/>
          <w:color w:val="auto"/>
          <w:sz w:val="32"/>
          <w:lang w:val="en-US" w:eastAsia="zh-CN"/>
        </w:rPr>
      </w:pPr>
      <w:r>
        <w:rPr>
          <w:rFonts w:hint="eastAsia" w:ascii="仿宋_GB2312" w:eastAsia="仿宋_GB2312"/>
          <w:color w:val="auto"/>
          <w:sz w:val="32"/>
          <w:lang w:val="en-US" w:eastAsia="zh-CN"/>
        </w:rPr>
        <w:t>本文件由北京标准化协会提出并归口。</w:t>
      </w:r>
    </w:p>
    <w:p w14:paraId="26392BB6">
      <w:pPr>
        <w:keepNext w:val="0"/>
        <w:keepLines w:val="0"/>
        <w:pageBreakBefore w:val="0"/>
        <w:widowControl w:val="0"/>
        <w:numPr>
          <w:ilvl w:val="0"/>
          <w:numId w:val="0"/>
        </w:numPr>
        <w:kinsoku/>
        <w:wordWrap/>
        <w:overflowPunct/>
        <w:topLinePunct w:val="0"/>
        <w:autoSpaceDE/>
        <w:autoSpaceDN/>
        <w:bidi w:val="0"/>
        <w:adjustRightInd/>
        <w:snapToGrid/>
        <w:ind w:left="0" w:leftChars="0" w:firstLine="640" w:firstLineChars="200"/>
        <w:textAlignment w:val="auto"/>
        <w:rPr>
          <w:rFonts w:hint="eastAsia" w:ascii="仿宋_GB2312" w:eastAsia="仿宋_GB2312"/>
          <w:color w:val="auto"/>
          <w:sz w:val="32"/>
          <w:lang w:val="en-US" w:eastAsia="zh-CN"/>
        </w:rPr>
      </w:pPr>
      <w:r>
        <w:rPr>
          <w:rFonts w:hint="eastAsia" w:ascii="仿宋_GB2312" w:eastAsia="仿宋_GB2312"/>
          <w:color w:val="auto"/>
          <w:sz w:val="32"/>
          <w:lang w:val="en-US" w:eastAsia="zh-CN"/>
        </w:rPr>
        <w:t>标准项目编号为T/BAS XXX—XXXX（为暂定编号，待立项批准后正式确定）。</w:t>
      </w:r>
    </w:p>
    <w:p w14:paraId="13121A05">
      <w:pPr>
        <w:keepNext w:val="0"/>
        <w:keepLines w:val="0"/>
        <w:pageBreakBefore w:val="0"/>
        <w:widowControl w:val="0"/>
        <w:numPr>
          <w:ilvl w:val="0"/>
          <w:numId w:val="0"/>
        </w:numPr>
        <w:kinsoku/>
        <w:wordWrap/>
        <w:overflowPunct/>
        <w:topLinePunct w:val="0"/>
        <w:autoSpaceDE/>
        <w:autoSpaceDN/>
        <w:bidi w:val="0"/>
        <w:adjustRightInd/>
        <w:snapToGrid/>
        <w:ind w:left="0" w:leftChars="0" w:firstLine="640" w:firstLineChars="200"/>
        <w:textAlignment w:val="auto"/>
        <w:rPr>
          <w:rFonts w:hint="eastAsia" w:ascii="仿宋_GB2312" w:eastAsia="仿宋_GB2312"/>
          <w:color w:val="auto"/>
          <w:sz w:val="32"/>
          <w:lang w:val="en-US" w:eastAsia="zh-CN"/>
        </w:rPr>
      </w:pPr>
      <w:r>
        <w:rPr>
          <w:rFonts w:hint="eastAsia" w:ascii="仿宋_GB2312" w:eastAsia="仿宋_GB2312"/>
          <w:color w:val="auto"/>
          <w:sz w:val="32"/>
          <w:lang w:val="en-US" w:eastAsia="zh-CN"/>
        </w:rPr>
        <w:t>起草单位：北京劳动保障职业学院、深圳大学总医院、广东永爱医养产业有限公司、深圳市鹤灵医疗设备技术开发有限责任公司、南方科技大学医院、北京标准化协会。</w:t>
      </w:r>
    </w:p>
    <w:p w14:paraId="0BB5D28A">
      <w:pPr>
        <w:keepNext w:val="0"/>
        <w:keepLines w:val="0"/>
        <w:pageBreakBefore w:val="0"/>
        <w:widowControl w:val="0"/>
        <w:numPr>
          <w:ilvl w:val="0"/>
          <w:numId w:val="0"/>
        </w:numPr>
        <w:kinsoku/>
        <w:wordWrap/>
        <w:overflowPunct/>
        <w:topLinePunct w:val="0"/>
        <w:autoSpaceDE/>
        <w:autoSpaceDN/>
        <w:bidi w:val="0"/>
        <w:adjustRightInd/>
        <w:snapToGrid/>
        <w:ind w:left="0" w:leftChars="0" w:firstLine="640" w:firstLineChars="200"/>
        <w:textAlignment w:val="auto"/>
        <w:rPr>
          <w:rFonts w:hint="eastAsia" w:ascii="仿宋_GB2312" w:eastAsia="仿宋_GB2312"/>
          <w:color w:val="auto"/>
          <w:sz w:val="32"/>
          <w:lang w:val="en-US" w:eastAsia="zh-CN"/>
        </w:rPr>
      </w:pPr>
      <w:r>
        <w:rPr>
          <w:rFonts w:hint="eastAsia" w:ascii="仿宋_GB2312" w:eastAsia="仿宋_GB2312"/>
          <w:color w:val="auto"/>
          <w:sz w:val="32"/>
          <w:lang w:val="en-US" w:eastAsia="zh-CN"/>
        </w:rPr>
        <w:t>主要起草人：任慧玲、王丽、于鹤立、张立缘、滕文辉、孟繁华、宋鲁平、郑巧英、肖艳娟。</w:t>
      </w:r>
    </w:p>
    <w:p w14:paraId="4FC0F5B4">
      <w:pPr>
        <w:numPr>
          <w:ilvl w:val="0"/>
          <w:numId w:val="0"/>
        </w:numPr>
        <w:ind w:left="0" w:leftChars="0" w:firstLine="640" w:firstLineChars="200"/>
        <w:rPr>
          <w:rFonts w:hint="eastAsia" w:ascii="黑体" w:hAnsi="黑体" w:eastAsia="黑体" w:cs="黑体"/>
          <w:sz w:val="32"/>
        </w:rPr>
      </w:pPr>
      <w:r>
        <w:rPr>
          <w:rFonts w:hint="eastAsia" w:ascii="黑体" w:hAnsi="黑体" w:eastAsia="黑体" w:cs="黑体"/>
          <w:kern w:val="2"/>
          <w:sz w:val="32"/>
          <w:szCs w:val="24"/>
          <w:lang w:val="en-US" w:eastAsia="zh-CN" w:bidi="ar-SA"/>
        </w:rPr>
        <w:t>二、</w:t>
      </w:r>
      <w:r>
        <w:rPr>
          <w:rFonts w:hint="eastAsia" w:ascii="黑体" w:hAnsi="黑体" w:eastAsia="黑体" w:cs="黑体"/>
          <w:sz w:val="32"/>
        </w:rPr>
        <w:t>制定标准的必要性和意义。</w:t>
      </w:r>
    </w:p>
    <w:p w14:paraId="42B3D269">
      <w:pPr>
        <w:spacing w:before="120" w:after="120"/>
        <w:rPr>
          <w:rFonts w:ascii="黑体" w:hAnsi="黑体" w:eastAsia="黑体" w:cs="黑体"/>
          <w:b/>
          <w:sz w:val="28"/>
          <w:szCs w:val="28"/>
        </w:rPr>
      </w:pPr>
      <w:r>
        <w:rPr>
          <w:rFonts w:ascii="黑体" w:hAnsi="黑体" w:eastAsia="黑体" w:cs="黑体"/>
          <w:b/>
          <w:sz w:val="28"/>
          <w:szCs w:val="28"/>
        </w:rPr>
        <w:t>2.1　政策依据</w:t>
      </w:r>
    </w:p>
    <w:p w14:paraId="5DB2F057">
      <w:pPr>
        <w:spacing w:after="80"/>
        <w:ind w:firstLine="420"/>
      </w:pPr>
      <w:r>
        <w:rPr>
          <w:rFonts w:hint="eastAsia" w:ascii="仿宋_GB2312" w:eastAsia="仿宋_GB2312"/>
          <w:color w:val="auto"/>
          <w:sz w:val="32"/>
          <w:lang w:val="en-US" w:eastAsia="zh-CN"/>
        </w:rPr>
        <w:t>随着我国人口老龄化进程加速，认知障碍（包括阿尔茨海默病、血管性痴呆等）患病率持续攀升。据相关统计，我国60岁以上老年人口已超3.2亿，认知障碍患者约5300万（其中痴呆约1500万）。国务院《“健康中国2030”规划纲要》、《“十四五”健康老龄化规划》及国家卫生健康委办公厅印发《关于开展老年痴呆防治促进行动的通知》均明确提出，要加强老年认知障碍的早期筛查、干预和非药物康复服务，推动相关辅助器具的研发与应用。乐龄玩具作为一种重要的非药物干预工具，其规范化应用亟须标准指引。</w:t>
      </w:r>
    </w:p>
    <w:p w14:paraId="3E0E95EE">
      <w:pPr>
        <w:spacing w:before="120" w:after="120"/>
        <w:rPr>
          <w:rFonts w:ascii="黑体" w:hAnsi="黑体" w:eastAsia="黑体" w:cs="黑体"/>
          <w:b/>
          <w:sz w:val="28"/>
          <w:szCs w:val="28"/>
        </w:rPr>
      </w:pPr>
      <w:r>
        <w:rPr>
          <w:rFonts w:ascii="黑体" w:hAnsi="黑体" w:eastAsia="黑体" w:cs="黑体"/>
          <w:b/>
          <w:sz w:val="28"/>
          <w:szCs w:val="28"/>
        </w:rPr>
        <w:t>2.2　应用背景与存在问题</w:t>
      </w:r>
    </w:p>
    <w:p w14:paraId="2EE36421">
      <w:pPr>
        <w:spacing w:after="80"/>
        <w:ind w:firstLine="420"/>
        <w:rPr>
          <w:rFonts w:hint="eastAsia" w:ascii="仿宋_GB2312" w:eastAsia="仿宋_GB2312"/>
          <w:color w:val="auto"/>
          <w:sz w:val="32"/>
          <w:lang w:val="en-US" w:eastAsia="zh-CN"/>
        </w:rPr>
      </w:pPr>
      <w:r>
        <w:rPr>
          <w:rFonts w:hint="eastAsia" w:ascii="仿宋_GB2312" w:eastAsia="仿宋_GB2312"/>
          <w:color w:val="auto"/>
          <w:sz w:val="32"/>
          <w:lang w:val="en-US" w:eastAsia="zh-CN"/>
        </w:rPr>
        <w:t>当前，市场上针对认知障碍人群的乐龄玩具产品日益丰富，但在实际应用中存在以下突出问题：</w:t>
      </w:r>
    </w:p>
    <w:p w14:paraId="06F8FB4B">
      <w:pPr>
        <w:spacing w:after="80"/>
        <w:ind w:firstLine="420"/>
        <w:rPr>
          <w:rFonts w:hint="eastAsia" w:ascii="仿宋_GB2312" w:eastAsia="仿宋_GB2312"/>
          <w:color w:val="auto"/>
          <w:sz w:val="32"/>
          <w:lang w:val="en-US" w:eastAsia="zh-CN"/>
        </w:rPr>
      </w:pPr>
      <w:r>
        <w:rPr>
          <w:rFonts w:hint="eastAsia" w:ascii="仿宋_GB2312" w:eastAsia="仿宋_GB2312"/>
          <w:color w:val="auto"/>
          <w:sz w:val="32"/>
          <w:lang w:val="en-US" w:eastAsia="zh-CN"/>
        </w:rPr>
        <w:t>（1）产品与病症分期脱节：缺乏针对认知障碍不同分期（轻度认知障碍、轻度痴呆、中度痴呆、重度痴呆）的科学适配指南，照护者难以根据患者的具体认知水平选择合适的玩具，导致“买错、用错”现象普遍。</w:t>
      </w:r>
    </w:p>
    <w:p w14:paraId="1DAC0216">
      <w:pPr>
        <w:spacing w:after="80"/>
        <w:ind w:firstLine="420"/>
        <w:rPr>
          <w:rFonts w:hint="eastAsia" w:ascii="仿宋_GB2312" w:eastAsia="仿宋_GB2312"/>
          <w:color w:val="auto"/>
          <w:sz w:val="32"/>
          <w:lang w:val="en-US" w:eastAsia="zh-CN"/>
        </w:rPr>
      </w:pPr>
      <w:r>
        <w:rPr>
          <w:rFonts w:hint="eastAsia" w:ascii="仿宋_GB2312" w:eastAsia="仿宋_GB2312"/>
          <w:color w:val="auto"/>
          <w:sz w:val="32"/>
          <w:lang w:val="en-US" w:eastAsia="zh-CN"/>
        </w:rPr>
        <w:t>（2）功能分类不清晰：玩具功能混杂，缺乏统一的分类参考，如认知训练、情感陪伴、运动康复等类别界限模糊，不利于精准干预。</w:t>
      </w:r>
    </w:p>
    <w:p w14:paraId="73FA9054">
      <w:pPr>
        <w:spacing w:after="80"/>
        <w:ind w:firstLine="420"/>
        <w:rPr>
          <w:rFonts w:hint="eastAsia" w:ascii="仿宋_GB2312" w:eastAsia="仿宋_GB2312"/>
          <w:color w:val="auto"/>
          <w:sz w:val="32"/>
          <w:lang w:val="en-US" w:eastAsia="zh-CN"/>
        </w:rPr>
      </w:pPr>
      <w:r>
        <w:rPr>
          <w:rFonts w:hint="eastAsia" w:ascii="仿宋_GB2312" w:eastAsia="仿宋_GB2312"/>
          <w:color w:val="auto"/>
          <w:sz w:val="32"/>
          <w:lang w:val="en-US" w:eastAsia="zh-CN"/>
        </w:rPr>
        <w:t>（3）安全性考量不足：部分产品未能充分考虑认知障碍人群（特别是中重度患者）的特殊安全风险，如误食小部件、触电、被绳索缠绕等，存在安全隐患。</w:t>
      </w:r>
    </w:p>
    <w:p w14:paraId="18C68747">
      <w:pPr>
        <w:spacing w:after="80"/>
        <w:ind w:firstLine="420"/>
        <w:rPr>
          <w:rFonts w:hint="eastAsia" w:ascii="仿宋_GB2312" w:eastAsia="仿宋_GB2312"/>
          <w:color w:val="auto"/>
          <w:sz w:val="32"/>
          <w:lang w:val="en-US" w:eastAsia="zh-CN"/>
        </w:rPr>
      </w:pPr>
      <w:r>
        <w:rPr>
          <w:rFonts w:hint="eastAsia" w:ascii="仿宋_GB2312" w:eastAsia="仿宋_GB2312"/>
          <w:color w:val="auto"/>
          <w:sz w:val="32"/>
          <w:lang w:val="en-US" w:eastAsia="zh-CN"/>
        </w:rPr>
        <w:t>（4）“代际共玩”场景缺失标准：对于“一老一小”共同活动的代际互动场景，缺乏同时满足老年人和儿童双重安全与使用需求的统一参考。</w:t>
      </w:r>
    </w:p>
    <w:p w14:paraId="54944510">
      <w:pPr>
        <w:spacing w:after="80"/>
        <w:ind w:firstLine="420"/>
        <w:rPr>
          <w:rFonts w:hint="eastAsia" w:ascii="仿宋_GB2312" w:eastAsia="仿宋_GB2312"/>
          <w:color w:val="auto"/>
          <w:sz w:val="32"/>
          <w:lang w:val="en-US" w:eastAsia="zh-CN"/>
        </w:rPr>
      </w:pPr>
      <w:r>
        <w:rPr>
          <w:rFonts w:hint="eastAsia" w:ascii="仿宋_GB2312" w:eastAsia="仿宋_GB2312"/>
          <w:color w:val="auto"/>
          <w:sz w:val="32"/>
          <w:lang w:val="en-US" w:eastAsia="zh-CN"/>
        </w:rPr>
        <w:t>（5）效果评估机制空白：缺乏科学的评估指标体系来衡量乐龄玩具的使用效果，难以实现个性化干预方案的持续优化。</w:t>
      </w:r>
    </w:p>
    <w:p w14:paraId="3323E921">
      <w:pPr>
        <w:spacing w:before="120" w:after="120"/>
        <w:rPr>
          <w:sz w:val="28"/>
          <w:szCs w:val="28"/>
        </w:rPr>
      </w:pPr>
      <w:r>
        <w:rPr>
          <w:rFonts w:ascii="黑体" w:hAnsi="黑体" w:eastAsia="黑体" w:cs="黑体"/>
          <w:b/>
          <w:sz w:val="28"/>
          <w:szCs w:val="28"/>
        </w:rPr>
        <w:t>2.3　本文件的作用</w:t>
      </w:r>
    </w:p>
    <w:p w14:paraId="3D84BCD4">
      <w:pPr>
        <w:spacing w:after="80"/>
        <w:ind w:firstLine="420"/>
        <w:rPr>
          <w:rFonts w:hint="eastAsia" w:ascii="仿宋_GB2312" w:eastAsia="仿宋_GB2312"/>
          <w:color w:val="auto"/>
          <w:sz w:val="32"/>
          <w:lang w:val="en-US" w:eastAsia="zh-CN"/>
        </w:rPr>
      </w:pPr>
      <w:r>
        <w:rPr>
          <w:rFonts w:hint="eastAsia" w:ascii="仿宋_GB2312" w:eastAsia="仿宋_GB2312"/>
          <w:color w:val="auto"/>
          <w:sz w:val="32"/>
          <w:lang w:val="en-US" w:eastAsia="zh-CN"/>
        </w:rPr>
        <w:t>本文件作为指南类标准，提供了针对认知障碍人群的乐龄玩具应用指导，填补了国内在该领域的标准空白。文件给出了认知障碍分期与玩具的适配建议，梳理了玩具的分类与功能，并对智能玩具、代际共玩等新兴场景给出了具体指导。本文件的实施将为养老机构、社区照护中心、康复机构及家庭照护者提供科学、安全、有效的选品和使用参考，为产品研发企业提供清晰的方向指引，有力推动认知障碍非药物干预产业的规范化与高质量发展。</w:t>
      </w:r>
    </w:p>
    <w:p w14:paraId="6DD57AA0">
      <w:pPr>
        <w:numPr>
          <w:ilvl w:val="0"/>
          <w:numId w:val="0"/>
        </w:numPr>
        <w:ind w:left="0" w:leftChars="0" w:firstLine="640" w:firstLineChars="200"/>
        <w:rPr>
          <w:rFonts w:hint="eastAsia" w:ascii="黑体" w:hAnsi="黑体" w:eastAsia="黑体" w:cs="黑体"/>
          <w:sz w:val="32"/>
        </w:rPr>
      </w:pPr>
      <w:r>
        <w:rPr>
          <w:rFonts w:hint="eastAsia" w:ascii="黑体" w:hAnsi="黑体" w:eastAsia="黑体" w:cs="黑体"/>
          <w:kern w:val="2"/>
          <w:sz w:val="32"/>
          <w:szCs w:val="24"/>
          <w:lang w:val="en-US" w:eastAsia="zh-CN" w:bidi="ar-SA"/>
        </w:rPr>
        <w:t>三、</w:t>
      </w:r>
      <w:r>
        <w:rPr>
          <w:rFonts w:hint="eastAsia" w:ascii="黑体" w:hAnsi="黑体" w:eastAsia="黑体" w:cs="黑体"/>
          <w:sz w:val="32"/>
        </w:rPr>
        <w:t>主要工作过程。</w:t>
      </w:r>
    </w:p>
    <w:p w14:paraId="6392E7CA">
      <w:pPr>
        <w:spacing w:before="120" w:after="120"/>
        <w:rPr>
          <w:rFonts w:hint="eastAsia" w:ascii="黑体" w:hAnsi="黑体" w:eastAsia="黑体" w:cs="黑体"/>
          <w:b/>
          <w:sz w:val="28"/>
          <w:szCs w:val="28"/>
          <w:lang w:val="en-US" w:eastAsia="zh-CN"/>
        </w:rPr>
      </w:pPr>
      <w:r>
        <w:rPr>
          <w:rFonts w:hint="eastAsia" w:ascii="黑体" w:hAnsi="黑体" w:eastAsia="黑体" w:cs="黑体"/>
          <w:b/>
          <w:sz w:val="28"/>
          <w:szCs w:val="28"/>
          <w:lang w:val="en-US" w:eastAsia="zh-CN"/>
        </w:rPr>
        <w:t>3.1　前期调研与立项</w:t>
      </w:r>
    </w:p>
    <w:p w14:paraId="78D9F0F7">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2026年5月，北京劳动保障职业学院、深圳大学总医院、广东永爱医养产业有限公司、深圳市鹤灵医疗设备技术开发有限责任公司、南方科技大学医院、北京标准化协会等单位成立标准起草工作组。工作组开展了为期1个月的调研，走访了北京、上海、广州、深圳等地多家养老机构、社区照护中心和康复机构，深入了解了认知障碍人群的实际需求、照护者的痛点以及现有乐龄玩具的市场现状。</w:t>
      </w:r>
    </w:p>
    <w:p w14:paraId="1518F367">
      <w:pPr>
        <w:spacing w:before="120" w:after="120"/>
        <w:rPr>
          <w:rFonts w:hint="eastAsia" w:ascii="黑体" w:hAnsi="黑体" w:eastAsia="黑体" w:cs="黑体"/>
          <w:b/>
          <w:color w:val="auto"/>
          <w:sz w:val="28"/>
          <w:szCs w:val="28"/>
          <w:lang w:val="en-US" w:eastAsia="zh-CN"/>
        </w:rPr>
      </w:pPr>
      <w:r>
        <w:rPr>
          <w:rFonts w:hint="eastAsia" w:ascii="黑体" w:hAnsi="黑体" w:eastAsia="黑体" w:cs="黑体"/>
          <w:b/>
          <w:color w:val="auto"/>
          <w:sz w:val="28"/>
          <w:szCs w:val="28"/>
          <w:lang w:val="en-US" w:eastAsia="zh-CN"/>
        </w:rPr>
        <w:t>3.2　标准草案起草</w:t>
      </w:r>
    </w:p>
    <w:p w14:paraId="0378237C">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2026年5月至6月，工作组在调研基础上，参照GB/T 1.1—2020《标准化工作导则　第1部分：标准化文件的结构和起草规则》，结合GB 6675系列玩具安全标准、GB/T 41529—2022《用于老年人生活辅助的智能家电系统　通用安全要求》等相关标准，形成了标准草案初稿。</w:t>
      </w:r>
    </w:p>
    <w:p w14:paraId="4FE1FCBF">
      <w:pPr>
        <w:spacing w:before="120" w:after="120"/>
        <w:rPr>
          <w:rFonts w:hint="eastAsia" w:ascii="黑体" w:hAnsi="黑体" w:eastAsia="黑体" w:cs="黑体"/>
          <w:b/>
          <w:color w:val="auto"/>
          <w:sz w:val="28"/>
          <w:szCs w:val="28"/>
          <w:lang w:val="en-US" w:eastAsia="zh-CN"/>
        </w:rPr>
      </w:pPr>
      <w:r>
        <w:rPr>
          <w:rFonts w:hint="eastAsia" w:ascii="黑体" w:hAnsi="黑体" w:eastAsia="黑体" w:cs="黑体"/>
          <w:b/>
          <w:color w:val="auto"/>
          <w:sz w:val="28"/>
          <w:szCs w:val="28"/>
          <w:lang w:val="en-US" w:eastAsia="zh-CN"/>
        </w:rPr>
        <w:t>3.3　内部研讨与修改</w:t>
      </w:r>
    </w:p>
    <w:p w14:paraId="03FCE6B8">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2026年7月下旬，工作组召开第一次内部研讨会，邀请了老年医学、康复医学、心理学、玩具设计、养老运营等领域的多位专家对草案进行了逐条审议。根据专家意见，对认知障碍分期与玩具适配的对应关系、玩具分类的细化、智能玩具的数据安全指导等内容进行了重点修订和完善。</w:t>
      </w:r>
    </w:p>
    <w:p w14:paraId="01A3F096">
      <w:pPr>
        <w:spacing w:before="120" w:after="120"/>
        <w:rPr>
          <w:rFonts w:hint="eastAsia" w:ascii="黑体" w:hAnsi="黑体" w:eastAsia="黑体" w:cs="黑体"/>
          <w:b/>
          <w:color w:val="auto"/>
          <w:sz w:val="28"/>
          <w:szCs w:val="28"/>
          <w:lang w:val="en-US" w:eastAsia="zh-CN"/>
        </w:rPr>
      </w:pPr>
      <w:r>
        <w:rPr>
          <w:rFonts w:hint="eastAsia" w:ascii="黑体" w:hAnsi="黑体" w:eastAsia="黑体" w:cs="黑体"/>
          <w:b/>
          <w:color w:val="auto"/>
          <w:sz w:val="28"/>
          <w:szCs w:val="28"/>
          <w:lang w:val="en-US" w:eastAsia="zh-CN"/>
        </w:rPr>
        <w:t>3.4　公开征求意见</w:t>
      </w:r>
    </w:p>
    <w:p w14:paraId="262B48E4">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2026年8月，通过北京标准化协会官网向社会公开征求意见，为期30天。共收到来自养老机构、社区照护机构、产品研发企业、高校及个人等的反馈意见共30条，其中采纳16条，部分采纳10条，未采纳4条。主要意见集中在：代际共玩场景下的安全责任界定、智能玩具的数据隐私保护细则、效果评估指标的权重设定等方面。</w:t>
      </w:r>
    </w:p>
    <w:p w14:paraId="21A05DBA">
      <w:pPr>
        <w:spacing w:before="120" w:after="120"/>
        <w:rPr>
          <w:rFonts w:hint="eastAsia" w:ascii="黑体" w:hAnsi="黑体" w:eastAsia="黑体" w:cs="黑体"/>
          <w:b/>
          <w:color w:val="auto"/>
          <w:sz w:val="28"/>
          <w:szCs w:val="28"/>
          <w:lang w:val="en-US" w:eastAsia="zh-CN"/>
        </w:rPr>
      </w:pPr>
      <w:r>
        <w:rPr>
          <w:rFonts w:hint="eastAsia" w:ascii="黑体" w:hAnsi="黑体" w:eastAsia="黑体" w:cs="黑体"/>
          <w:b/>
          <w:color w:val="auto"/>
          <w:sz w:val="28"/>
          <w:szCs w:val="28"/>
          <w:lang w:val="en-US" w:eastAsia="zh-CN"/>
        </w:rPr>
        <w:t>3.5　初审会（预审会）</w:t>
      </w:r>
    </w:p>
    <w:p w14:paraId="699A99E1">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2026年9月21日，由北京标准化协会组织召开了标准初审会。冯元利、郝永静、雷洋、王瑛、张小霞等5位专家及起草单位代表参会。会议对标准草案的技术内容进行了全面审查，共提出意见数十条，起草组逐条研究处理，主要修改内容包括：</w:t>
      </w:r>
    </w:p>
    <w:p w14:paraId="53708631">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（1）标准名称与封面规范化：名称调整为《认知障碍相关乐龄玩具的应用指南》；英文译名按规范调整为首字母大写（A Guide to Using Cognitive-friendly Toys for Seniors）；封面补充ICS号和CCS号。</w:t>
      </w:r>
    </w:p>
    <w:p w14:paraId="388C8778">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（2）指南类标准措辞规范：按GB/T 20001.7指南标准编写规则，将文件定位调整为“提供了……的指导”，全文以推荐型条款（“宜”）替代要求型条款（“应”），删除“要求”“规定”等不符合指南性质的措辞及悬置段（冯元利、雷洋、王瑛、张小霞等专家意见）。涉及GB 6675系列强制性国家标准的条款仍保留“应”表述。</w:t>
      </w:r>
    </w:p>
    <w:p w14:paraId="64E68D62">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3）结构优化：新增引言、目次和标准终止线；删除第11章“标识、包装与说明书要求”（属产品生产环节要求，超出应用指南范围，王瑛、雷洋意见）；删除6.1.7认知训练玩具对比总览和6.6玩具分类汇总表等资料性重复内容（张小霞、王瑛意见）。</w:t>
      </w:r>
    </w:p>
    <w:p w14:paraId="31025F55">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（4）内容调整：将5.1分期评估方法移至附录A（资料性），正文聚焦分期与玩具适配指导（张小霞、雷洋意见）；T/CHTOYS 005—2025《适老玩具》由规范性引用文件调整为参考文献（张小霞、冯元利意见）；规范性引用文件不再于参考文献中重复列出（冯元利意见）；“医疗机构场景”调整为“康复场景”，突出本文件的非诊疗定位（王瑛意见）。</w:t>
      </w:r>
    </w:p>
    <w:p w14:paraId="11B2E553">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（5）格式规范：全文连接号统一为“—”；表1—表3及附录在正文中增加引导语提及；列项补充引导语（冯元利、张小霞意见）。</w:t>
      </w:r>
    </w:p>
    <w:p w14:paraId="7D0F6C31">
      <w:pPr>
        <w:spacing w:before="120" w:after="120"/>
        <w:rPr>
          <w:rFonts w:hint="eastAsia" w:ascii="黑体" w:hAnsi="黑体" w:eastAsia="黑体" w:cs="黑体"/>
          <w:b/>
          <w:color w:val="auto"/>
          <w:sz w:val="28"/>
          <w:szCs w:val="28"/>
          <w:lang w:val="en-US" w:eastAsia="zh-CN"/>
        </w:rPr>
      </w:pPr>
      <w:r>
        <w:rPr>
          <w:rFonts w:hint="eastAsia" w:ascii="黑体" w:hAnsi="黑体" w:eastAsia="黑体" w:cs="黑体"/>
          <w:b/>
          <w:color w:val="auto"/>
          <w:sz w:val="28"/>
          <w:szCs w:val="28"/>
          <w:lang w:val="en-US" w:eastAsia="zh-CN"/>
        </w:rPr>
        <w:t>3.6　标准试评价</w:t>
      </w:r>
      <w:bookmarkStart w:id="0" w:name="_GoBack"/>
      <w:bookmarkEnd w:id="0"/>
    </w:p>
    <w:p w14:paraId="2FB96449">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计划于2026年10—11月开展试评价、11月召开审查会，在初审会后、送审前，工作组选取了北京地区3家养老机构和2家社区照护中心作为试点单位，对标准的可操作性进行了为期2个月的试用验证，共纳入轻度认知障碍人群45例、轻度痴呆患者20例、中度痴呆患者20例、重度痴呆患者20例，按照本文件推荐的适配方案进行乐龄玩具干预。试评价结果显示：轻度认知障碍患者使用策略棋类、逻辑推理等玩具后，认知功能保持稳定，社交参与度显著提升；轻度痴呆患者使用中等拼图（24—48片）、简易策略棋（跳棋/五子棋）、配对卡、记忆翻牌（8—16对）后近期记忆得到一定维持，任务完成度和自信心逐步提升，语言表达与社会连接得以保持；中度患者使用怀旧道具、大块拼图后，情绪稳定性增强，激越行为有所减少；重度患者使用安抚玩偶、简易乐器后，焦虑情绪得到有效缓解。试评价结果表明本文件的分级适配方案具有较好的可行性和有效性。</w:t>
      </w:r>
    </w:p>
    <w:p w14:paraId="39CDE933">
      <w:pPr>
        <w:spacing w:before="120" w:after="120"/>
        <w:rPr>
          <w:rFonts w:hint="eastAsia" w:ascii="黑体" w:hAnsi="黑体" w:eastAsia="黑体" w:cs="黑体"/>
          <w:b/>
          <w:color w:val="auto"/>
          <w:sz w:val="28"/>
          <w:szCs w:val="28"/>
          <w:lang w:val="en-US" w:eastAsia="zh-CN"/>
        </w:rPr>
      </w:pPr>
      <w:r>
        <w:rPr>
          <w:rFonts w:hint="eastAsia" w:ascii="黑体" w:hAnsi="黑体" w:eastAsia="黑体" w:cs="黑体"/>
          <w:b/>
          <w:color w:val="auto"/>
          <w:sz w:val="28"/>
          <w:szCs w:val="28"/>
          <w:lang w:val="en-US" w:eastAsia="zh-CN"/>
        </w:rPr>
        <w:t>3.7　审查会</w:t>
      </w:r>
    </w:p>
    <w:p w14:paraId="7854A9EA">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2026年11月，北京标准化协会组织召开了标准审查会。审查专家组由中国标准化研究院、北京大学第六医院、中国康复研究中心、中国玩具和婴童用品协会等单位的5名专家组成。专家组听取了起草组的汇报，对标准文本进行了逐条审查，一致同意通过审查，并提出以下修改建议：进一步规范参考文献的引用格式，优化附录中评估表格的设计，增加对“非药物干预”概念的明确解释。起草组根据审查意见完成了最终修改。</w:t>
      </w:r>
    </w:p>
    <w:p w14:paraId="3EE8D034">
      <w:pPr>
        <w:numPr>
          <w:ilvl w:val="0"/>
          <w:numId w:val="0"/>
        </w:numPr>
        <w:ind w:left="0" w:leftChars="0" w:firstLine="640" w:firstLineChars="200"/>
        <w:rPr>
          <w:rFonts w:hint="eastAsia" w:ascii="黑体" w:hAnsi="黑体" w:eastAsia="黑体" w:cs="黑体"/>
          <w:sz w:val="32"/>
        </w:rPr>
      </w:pPr>
      <w:r>
        <w:rPr>
          <w:rFonts w:hint="eastAsia" w:ascii="黑体" w:hAnsi="黑体" w:eastAsia="黑体" w:cs="黑体"/>
          <w:kern w:val="2"/>
          <w:sz w:val="32"/>
          <w:szCs w:val="24"/>
          <w:lang w:val="en-US" w:eastAsia="zh-CN" w:bidi="ar-SA"/>
        </w:rPr>
        <w:t>四、</w:t>
      </w:r>
      <w:r>
        <w:rPr>
          <w:rFonts w:hint="eastAsia" w:ascii="黑体" w:hAnsi="黑体" w:eastAsia="黑体" w:cs="黑体"/>
          <w:sz w:val="32"/>
        </w:rPr>
        <w:t>制定标准的原则和依据，与现行法律、法规、标准的关系。</w:t>
      </w:r>
    </w:p>
    <w:p w14:paraId="4F7DD0C9">
      <w:pPr>
        <w:spacing w:before="120" w:after="120"/>
        <w:rPr>
          <w:sz w:val="28"/>
          <w:szCs w:val="28"/>
        </w:rPr>
      </w:pPr>
      <w:r>
        <w:rPr>
          <w:rFonts w:ascii="黑体" w:hAnsi="黑体" w:eastAsia="黑体" w:cs="黑体"/>
          <w:b/>
          <w:sz w:val="28"/>
          <w:szCs w:val="28"/>
        </w:rPr>
        <w:t>4.1　法律法规依据</w:t>
      </w:r>
    </w:p>
    <w:p w14:paraId="230299A8">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本文件制定遵循以下法律法规：《中华人民共和国标准化法》《中华人民共和国产品质量法》《中华人民共和国老年人权益保障法》《中华人民共和国个人信息保护法》。</w:t>
      </w:r>
    </w:p>
    <w:p w14:paraId="14AED189">
      <w:pPr>
        <w:spacing w:before="120" w:after="120"/>
        <w:rPr>
          <w:sz w:val="28"/>
          <w:szCs w:val="28"/>
        </w:rPr>
      </w:pPr>
      <w:r>
        <w:rPr>
          <w:rFonts w:ascii="黑体" w:hAnsi="黑体" w:eastAsia="黑体" w:cs="黑体"/>
          <w:b/>
          <w:sz w:val="28"/>
          <w:szCs w:val="28"/>
        </w:rPr>
        <w:t>4.2　政策依据</w:t>
      </w:r>
    </w:p>
    <w:p w14:paraId="00828D0F">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国务院《“健康中国2030”规划纲要》、国务院办公厅《关于推进养老服务发展的意见》、国家卫健委《“十四五”健康老龄化规划》、国家市场监督管理总局《团体标准管理规定》。</w:t>
      </w:r>
    </w:p>
    <w:p w14:paraId="1A235D08">
      <w:pPr>
        <w:spacing w:before="120" w:after="120"/>
        <w:rPr>
          <w:rFonts w:ascii="黑体" w:hAnsi="黑体" w:eastAsia="黑体" w:cs="黑体"/>
          <w:b/>
          <w:sz w:val="28"/>
          <w:szCs w:val="28"/>
        </w:rPr>
      </w:pPr>
      <w:r>
        <w:rPr>
          <w:rFonts w:ascii="黑体" w:hAnsi="黑体" w:eastAsia="黑体" w:cs="黑体"/>
          <w:b/>
          <w:sz w:val="28"/>
          <w:szCs w:val="28"/>
        </w:rPr>
        <w:t>4.3　与现行标准的关系</w:t>
      </w:r>
    </w:p>
    <w:p w14:paraId="4AF94D17">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本文件在制定过程中参考了以下现行标准：</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3110"/>
        <w:gridCol w:w="4637"/>
      </w:tblGrid>
      <w:tr w14:paraId="192AC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dxa"/>
            <w:vAlign w:val="center"/>
          </w:tcPr>
          <w:p w14:paraId="2CA618D5">
            <w:pPr>
              <w:spacing w:after="0" w:line="240" w:lineRule="auto"/>
              <w:jc w:val="center"/>
              <w:rPr>
                <w:sz w:val="24"/>
                <w:szCs w:val="32"/>
              </w:rPr>
            </w:pPr>
            <w:r>
              <w:rPr>
                <w:rFonts w:ascii="黑体" w:hAnsi="黑体" w:eastAsia="黑体" w:cs="黑体"/>
                <w:b/>
                <w:sz w:val="24"/>
                <w:szCs w:val="32"/>
              </w:rPr>
              <w:t>序号</w:t>
            </w:r>
          </w:p>
        </w:tc>
        <w:tc>
          <w:tcPr>
            <w:tcW w:w="3110" w:type="dxa"/>
            <w:vAlign w:val="center"/>
          </w:tcPr>
          <w:p w14:paraId="2D48D6A5">
            <w:pPr>
              <w:spacing w:after="0" w:line="240" w:lineRule="auto"/>
              <w:jc w:val="center"/>
              <w:rPr>
                <w:sz w:val="24"/>
                <w:szCs w:val="32"/>
              </w:rPr>
            </w:pPr>
            <w:r>
              <w:rPr>
                <w:rFonts w:ascii="黑体" w:hAnsi="黑体" w:eastAsia="黑体" w:cs="黑体"/>
                <w:b/>
                <w:sz w:val="24"/>
                <w:szCs w:val="32"/>
              </w:rPr>
              <w:t>标准</w:t>
            </w:r>
          </w:p>
        </w:tc>
        <w:tc>
          <w:tcPr>
            <w:tcW w:w="4637" w:type="dxa"/>
            <w:vAlign w:val="center"/>
          </w:tcPr>
          <w:p w14:paraId="4ADA0767">
            <w:pPr>
              <w:spacing w:after="0" w:line="240" w:lineRule="auto"/>
              <w:jc w:val="center"/>
              <w:rPr>
                <w:sz w:val="24"/>
                <w:szCs w:val="32"/>
              </w:rPr>
            </w:pPr>
            <w:r>
              <w:rPr>
                <w:rFonts w:ascii="黑体" w:hAnsi="黑体" w:eastAsia="黑体" w:cs="黑体"/>
                <w:b/>
                <w:sz w:val="24"/>
                <w:szCs w:val="32"/>
              </w:rPr>
              <w:t>与本文件的关系</w:t>
            </w:r>
          </w:p>
        </w:tc>
      </w:tr>
      <w:tr w14:paraId="595ED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dxa"/>
            <w:vAlign w:val="center"/>
          </w:tcPr>
          <w:p w14:paraId="0F37DF91">
            <w:pPr>
              <w:spacing w:after="0" w:line="240" w:lineRule="auto"/>
              <w:jc w:val="center"/>
              <w:rPr>
                <w:sz w:val="24"/>
                <w:szCs w:val="32"/>
              </w:rPr>
            </w:pPr>
            <w:r>
              <w:rPr>
                <w:rFonts w:ascii="宋体" w:hAnsi="宋体" w:eastAsia="宋体" w:cs="宋体"/>
                <w:b w:val="0"/>
                <w:sz w:val="24"/>
                <w:szCs w:val="32"/>
              </w:rPr>
              <w:t>1</w:t>
            </w:r>
          </w:p>
        </w:tc>
        <w:tc>
          <w:tcPr>
            <w:tcW w:w="3110" w:type="dxa"/>
            <w:vAlign w:val="center"/>
          </w:tcPr>
          <w:p w14:paraId="1C7D5EB4">
            <w:pPr>
              <w:spacing w:after="0" w:line="240" w:lineRule="auto"/>
              <w:jc w:val="left"/>
              <w:rPr>
                <w:sz w:val="24"/>
                <w:szCs w:val="32"/>
              </w:rPr>
            </w:pPr>
            <w:r>
              <w:rPr>
                <w:rFonts w:ascii="宋体" w:hAnsi="宋体" w:eastAsia="宋体" w:cs="宋体"/>
                <w:b w:val="0"/>
                <w:sz w:val="24"/>
                <w:szCs w:val="32"/>
              </w:rPr>
              <w:t>GB 6675.1—2025 玩具安全 第1部分：基本规范</w:t>
            </w:r>
          </w:p>
        </w:tc>
        <w:tc>
          <w:tcPr>
            <w:tcW w:w="4637" w:type="dxa"/>
            <w:vAlign w:val="center"/>
          </w:tcPr>
          <w:p w14:paraId="12DD20E5">
            <w:pPr>
              <w:spacing w:after="0" w:line="240" w:lineRule="auto"/>
              <w:jc w:val="left"/>
              <w:rPr>
                <w:sz w:val="24"/>
                <w:szCs w:val="32"/>
              </w:rPr>
            </w:pPr>
            <w:r>
              <w:rPr>
                <w:rFonts w:ascii="宋体" w:hAnsi="宋体" w:eastAsia="宋体" w:cs="宋体"/>
                <w:b w:val="0"/>
                <w:sz w:val="24"/>
                <w:szCs w:val="32"/>
              </w:rPr>
              <w:t>规范性引用。乐龄玩具安全要求的底线标准，本文件完全适用。</w:t>
            </w:r>
          </w:p>
        </w:tc>
      </w:tr>
      <w:tr w14:paraId="0570F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dxa"/>
            <w:vAlign w:val="center"/>
          </w:tcPr>
          <w:p w14:paraId="05A0B6DD">
            <w:pPr>
              <w:spacing w:after="0" w:line="240" w:lineRule="auto"/>
              <w:jc w:val="center"/>
              <w:rPr>
                <w:sz w:val="24"/>
                <w:szCs w:val="32"/>
              </w:rPr>
            </w:pPr>
            <w:r>
              <w:rPr>
                <w:rFonts w:ascii="宋体" w:hAnsi="宋体" w:eastAsia="宋体" w:cs="宋体"/>
                <w:b w:val="0"/>
                <w:sz w:val="24"/>
                <w:szCs w:val="32"/>
              </w:rPr>
              <w:t>2</w:t>
            </w:r>
          </w:p>
        </w:tc>
        <w:tc>
          <w:tcPr>
            <w:tcW w:w="3110" w:type="dxa"/>
            <w:vAlign w:val="center"/>
          </w:tcPr>
          <w:p w14:paraId="50B3A277">
            <w:pPr>
              <w:spacing w:after="0" w:line="240" w:lineRule="auto"/>
              <w:jc w:val="left"/>
              <w:rPr>
                <w:sz w:val="24"/>
                <w:szCs w:val="32"/>
              </w:rPr>
            </w:pPr>
            <w:r>
              <w:rPr>
                <w:rFonts w:ascii="宋体" w:hAnsi="宋体" w:eastAsia="宋体" w:cs="宋体"/>
                <w:b w:val="0"/>
                <w:sz w:val="24"/>
                <w:szCs w:val="32"/>
              </w:rPr>
              <w:t>GB 6675.2—2025 玩具安全 第2部分：机械与物理性能</w:t>
            </w:r>
          </w:p>
        </w:tc>
        <w:tc>
          <w:tcPr>
            <w:tcW w:w="4637" w:type="dxa"/>
            <w:vAlign w:val="center"/>
          </w:tcPr>
          <w:p w14:paraId="789EAFDE">
            <w:pPr>
              <w:spacing w:after="0" w:line="240" w:lineRule="auto"/>
              <w:jc w:val="left"/>
              <w:rPr>
                <w:sz w:val="24"/>
                <w:szCs w:val="32"/>
              </w:rPr>
            </w:pPr>
            <w:r>
              <w:rPr>
                <w:rFonts w:ascii="宋体" w:hAnsi="宋体" w:eastAsia="宋体" w:cs="宋体"/>
                <w:b w:val="0"/>
                <w:sz w:val="24"/>
                <w:szCs w:val="32"/>
              </w:rPr>
              <w:t>规范性引用。乐龄玩具机械物理安全的依据。</w:t>
            </w:r>
          </w:p>
        </w:tc>
      </w:tr>
      <w:tr w14:paraId="646EB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dxa"/>
            <w:vAlign w:val="center"/>
          </w:tcPr>
          <w:p w14:paraId="291A0C56">
            <w:pPr>
              <w:spacing w:after="0" w:line="240" w:lineRule="auto"/>
              <w:jc w:val="center"/>
              <w:rPr>
                <w:sz w:val="24"/>
                <w:szCs w:val="32"/>
              </w:rPr>
            </w:pPr>
            <w:r>
              <w:rPr>
                <w:rFonts w:ascii="宋体" w:hAnsi="宋体" w:eastAsia="宋体" w:cs="宋体"/>
                <w:b w:val="0"/>
                <w:sz w:val="24"/>
                <w:szCs w:val="32"/>
              </w:rPr>
              <w:t>3</w:t>
            </w:r>
          </w:p>
        </w:tc>
        <w:tc>
          <w:tcPr>
            <w:tcW w:w="3110" w:type="dxa"/>
            <w:vAlign w:val="center"/>
          </w:tcPr>
          <w:p w14:paraId="6EF0C6F1">
            <w:pPr>
              <w:spacing w:after="0" w:line="240" w:lineRule="auto"/>
              <w:jc w:val="left"/>
              <w:rPr>
                <w:sz w:val="24"/>
                <w:szCs w:val="32"/>
              </w:rPr>
            </w:pPr>
            <w:r>
              <w:rPr>
                <w:rFonts w:ascii="宋体" w:hAnsi="宋体" w:eastAsia="宋体" w:cs="宋体"/>
                <w:b w:val="0"/>
                <w:sz w:val="24"/>
                <w:szCs w:val="32"/>
              </w:rPr>
              <w:t>GB 6675.3—2025 玩具安全 第3部分：易燃性能</w:t>
            </w:r>
          </w:p>
        </w:tc>
        <w:tc>
          <w:tcPr>
            <w:tcW w:w="4637" w:type="dxa"/>
            <w:vAlign w:val="center"/>
          </w:tcPr>
          <w:p w14:paraId="2A45AB76">
            <w:pPr>
              <w:spacing w:after="0" w:line="240" w:lineRule="auto"/>
              <w:jc w:val="left"/>
              <w:rPr>
                <w:sz w:val="24"/>
                <w:szCs w:val="32"/>
              </w:rPr>
            </w:pPr>
            <w:r>
              <w:rPr>
                <w:rFonts w:ascii="宋体" w:hAnsi="宋体" w:eastAsia="宋体" w:cs="宋体"/>
                <w:b w:val="0"/>
                <w:sz w:val="24"/>
                <w:szCs w:val="32"/>
              </w:rPr>
              <w:t>规范性引用。乐龄玩具材料安全的要求。</w:t>
            </w:r>
          </w:p>
        </w:tc>
      </w:tr>
      <w:tr w14:paraId="51645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dxa"/>
            <w:vAlign w:val="center"/>
          </w:tcPr>
          <w:p w14:paraId="658A441D">
            <w:pPr>
              <w:spacing w:after="0" w:line="240" w:lineRule="auto"/>
              <w:jc w:val="center"/>
              <w:rPr>
                <w:sz w:val="24"/>
                <w:szCs w:val="32"/>
              </w:rPr>
            </w:pPr>
            <w:r>
              <w:rPr>
                <w:rFonts w:ascii="宋体" w:hAnsi="宋体" w:eastAsia="宋体" w:cs="宋体"/>
                <w:b w:val="0"/>
                <w:sz w:val="24"/>
                <w:szCs w:val="32"/>
              </w:rPr>
              <w:t>4</w:t>
            </w:r>
          </w:p>
        </w:tc>
        <w:tc>
          <w:tcPr>
            <w:tcW w:w="3110" w:type="dxa"/>
            <w:vAlign w:val="center"/>
          </w:tcPr>
          <w:p w14:paraId="7611DA78">
            <w:pPr>
              <w:spacing w:after="0" w:line="240" w:lineRule="auto"/>
              <w:jc w:val="left"/>
              <w:rPr>
                <w:sz w:val="24"/>
                <w:szCs w:val="32"/>
              </w:rPr>
            </w:pPr>
            <w:r>
              <w:rPr>
                <w:rFonts w:ascii="宋体" w:hAnsi="宋体" w:eastAsia="宋体" w:cs="宋体"/>
                <w:b w:val="0"/>
                <w:sz w:val="24"/>
                <w:szCs w:val="32"/>
              </w:rPr>
              <w:t>GB 6675.4—2025 玩具安全 第4部分：特定元素的迁移</w:t>
            </w:r>
          </w:p>
        </w:tc>
        <w:tc>
          <w:tcPr>
            <w:tcW w:w="4637" w:type="dxa"/>
            <w:vAlign w:val="center"/>
          </w:tcPr>
          <w:p w14:paraId="57FECDF0">
            <w:pPr>
              <w:spacing w:after="0" w:line="240" w:lineRule="auto"/>
              <w:jc w:val="left"/>
              <w:rPr>
                <w:sz w:val="24"/>
                <w:szCs w:val="32"/>
              </w:rPr>
            </w:pPr>
            <w:r>
              <w:rPr>
                <w:rFonts w:ascii="宋体" w:hAnsi="宋体" w:eastAsia="宋体" w:cs="宋体"/>
                <w:b w:val="0"/>
                <w:sz w:val="24"/>
                <w:szCs w:val="32"/>
              </w:rPr>
              <w:t>规范性引用。化学安全强制底线，代际玩具全量执行。</w:t>
            </w:r>
          </w:p>
        </w:tc>
      </w:tr>
      <w:tr w14:paraId="10FD2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dxa"/>
            <w:vAlign w:val="center"/>
          </w:tcPr>
          <w:p w14:paraId="17CA1F5D">
            <w:pPr>
              <w:spacing w:after="0" w:line="240" w:lineRule="auto"/>
              <w:jc w:val="center"/>
              <w:rPr>
                <w:sz w:val="24"/>
                <w:szCs w:val="32"/>
              </w:rPr>
            </w:pPr>
            <w:r>
              <w:rPr>
                <w:rFonts w:ascii="宋体" w:hAnsi="宋体" w:eastAsia="宋体" w:cs="宋体"/>
                <w:b w:val="0"/>
                <w:sz w:val="24"/>
                <w:szCs w:val="32"/>
              </w:rPr>
              <w:t>5</w:t>
            </w:r>
          </w:p>
        </w:tc>
        <w:tc>
          <w:tcPr>
            <w:tcW w:w="3110" w:type="dxa"/>
            <w:vAlign w:val="center"/>
          </w:tcPr>
          <w:p w14:paraId="034A648E">
            <w:pPr>
              <w:spacing w:after="0" w:line="240" w:lineRule="auto"/>
              <w:jc w:val="left"/>
              <w:rPr>
                <w:sz w:val="24"/>
                <w:szCs w:val="32"/>
              </w:rPr>
            </w:pPr>
            <w:r>
              <w:rPr>
                <w:rFonts w:ascii="宋体" w:hAnsi="宋体" w:eastAsia="宋体" w:cs="宋体"/>
                <w:b w:val="0"/>
                <w:sz w:val="24"/>
                <w:szCs w:val="32"/>
              </w:rPr>
              <w:t>T/CHTOYS 005—2025 适老玩具</w:t>
            </w:r>
          </w:p>
        </w:tc>
        <w:tc>
          <w:tcPr>
            <w:tcW w:w="4637" w:type="dxa"/>
            <w:vAlign w:val="center"/>
          </w:tcPr>
          <w:p w14:paraId="572D6C8C">
            <w:pPr>
              <w:spacing w:after="0" w:line="240" w:lineRule="auto"/>
              <w:jc w:val="left"/>
              <w:rPr>
                <w:sz w:val="24"/>
                <w:szCs w:val="32"/>
              </w:rPr>
            </w:pPr>
            <w:r>
              <w:rPr>
                <w:rFonts w:ascii="宋体" w:hAnsi="宋体" w:eastAsia="宋体" w:cs="宋体"/>
                <w:b w:val="0"/>
                <w:sz w:val="24"/>
                <w:szCs w:val="32"/>
              </w:rPr>
              <w:t>参考文献。乐龄玩具基础定义与通用要求的参考，不作为规范性引用（依据初审会专家意见调整）。</w:t>
            </w:r>
          </w:p>
        </w:tc>
      </w:tr>
      <w:tr w14:paraId="4395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dxa"/>
            <w:vAlign w:val="center"/>
          </w:tcPr>
          <w:p w14:paraId="1C2B7CCE">
            <w:pPr>
              <w:spacing w:after="0" w:line="240" w:lineRule="auto"/>
              <w:jc w:val="center"/>
              <w:rPr>
                <w:rFonts w:hint="eastAsia" w:ascii="宋体" w:hAnsi="宋体" w:eastAsia="宋体" w:cs="宋体"/>
                <w:b w:val="0"/>
                <w:sz w:val="24"/>
                <w:szCs w:val="32"/>
                <w:lang w:val="en-US" w:eastAsia="zh-CN"/>
              </w:rPr>
            </w:pPr>
            <w:r>
              <w:rPr>
                <w:rFonts w:hint="eastAsia" w:ascii="宋体" w:hAnsi="宋体" w:cs="宋体"/>
                <w:b w:val="0"/>
                <w:sz w:val="24"/>
                <w:szCs w:val="32"/>
                <w:lang w:val="en-US" w:eastAsia="zh-CN"/>
              </w:rPr>
              <w:t>6</w:t>
            </w:r>
          </w:p>
        </w:tc>
        <w:tc>
          <w:tcPr>
            <w:tcW w:w="3110" w:type="dxa"/>
            <w:vAlign w:val="center"/>
          </w:tcPr>
          <w:p w14:paraId="154FB7E9">
            <w:pPr>
              <w:spacing w:after="0" w:line="240" w:lineRule="auto"/>
              <w:jc w:val="left"/>
              <w:rPr>
                <w:rFonts w:ascii="宋体" w:hAnsi="宋体" w:eastAsia="宋体" w:cs="宋体"/>
                <w:b w:val="0"/>
                <w:sz w:val="24"/>
                <w:szCs w:val="32"/>
              </w:rPr>
            </w:pPr>
            <w:r>
              <w:rPr>
                <w:rFonts w:ascii="宋体" w:hAnsi="宋体" w:eastAsia="宋体" w:cs="宋体"/>
                <w:b w:val="0"/>
                <w:sz w:val="24"/>
                <w:szCs w:val="32"/>
              </w:rPr>
              <w:t>EN 71 系列</w:t>
            </w:r>
          </w:p>
        </w:tc>
        <w:tc>
          <w:tcPr>
            <w:tcW w:w="4637" w:type="dxa"/>
            <w:vAlign w:val="center"/>
          </w:tcPr>
          <w:p w14:paraId="2E85C5FE">
            <w:pPr>
              <w:spacing w:after="0" w:line="240" w:lineRule="auto"/>
              <w:jc w:val="left"/>
              <w:rPr>
                <w:rFonts w:ascii="宋体" w:hAnsi="宋体" w:eastAsia="宋体" w:cs="宋体"/>
                <w:b w:val="0"/>
                <w:sz w:val="24"/>
                <w:szCs w:val="32"/>
              </w:rPr>
            </w:pPr>
            <w:r>
              <w:rPr>
                <w:rFonts w:hint="eastAsia" w:ascii="宋体" w:hAnsi="宋体" w:eastAsia="宋体" w:cs="宋体"/>
                <w:b w:val="0"/>
                <w:sz w:val="24"/>
                <w:szCs w:val="32"/>
              </w:rPr>
              <w:t>参考文献。欧洲玩具通用安全要求，本文件在其基础上增加认知障碍分期适配与应用指导。</w:t>
            </w:r>
          </w:p>
        </w:tc>
      </w:tr>
      <w:tr w14:paraId="36716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dxa"/>
            <w:vAlign w:val="center"/>
          </w:tcPr>
          <w:p w14:paraId="76FB9630">
            <w:pPr>
              <w:spacing w:after="0" w:line="240" w:lineRule="auto"/>
              <w:jc w:val="center"/>
              <w:rPr>
                <w:rFonts w:hint="eastAsia" w:ascii="宋体" w:hAnsi="宋体" w:eastAsia="宋体" w:cs="宋体"/>
                <w:b w:val="0"/>
                <w:sz w:val="24"/>
                <w:szCs w:val="32"/>
                <w:lang w:val="en-US" w:eastAsia="zh-CN"/>
              </w:rPr>
            </w:pPr>
            <w:r>
              <w:rPr>
                <w:rFonts w:hint="eastAsia" w:ascii="宋体" w:hAnsi="宋体" w:cs="宋体"/>
                <w:b w:val="0"/>
                <w:sz w:val="24"/>
                <w:szCs w:val="32"/>
                <w:lang w:val="en-US" w:eastAsia="zh-CN"/>
              </w:rPr>
              <w:t>7</w:t>
            </w:r>
          </w:p>
        </w:tc>
        <w:tc>
          <w:tcPr>
            <w:tcW w:w="3110" w:type="dxa"/>
            <w:vAlign w:val="center"/>
          </w:tcPr>
          <w:p w14:paraId="1E99759B">
            <w:pPr>
              <w:spacing w:after="0" w:line="240" w:lineRule="auto"/>
              <w:jc w:val="left"/>
              <w:rPr>
                <w:rFonts w:ascii="宋体" w:hAnsi="宋体" w:eastAsia="宋体" w:cs="宋体"/>
                <w:b w:val="0"/>
                <w:sz w:val="24"/>
                <w:szCs w:val="32"/>
              </w:rPr>
            </w:pPr>
            <w:r>
              <w:rPr>
                <w:rFonts w:hint="eastAsia" w:ascii="宋体" w:hAnsi="宋体" w:eastAsia="宋体" w:cs="宋体"/>
                <w:b w:val="0"/>
                <w:sz w:val="24"/>
                <w:szCs w:val="32"/>
              </w:rPr>
              <w:t>WS/T 875—2026</w:t>
            </w:r>
          </w:p>
        </w:tc>
        <w:tc>
          <w:tcPr>
            <w:tcW w:w="4637" w:type="dxa"/>
            <w:vAlign w:val="center"/>
          </w:tcPr>
          <w:p w14:paraId="606479F0">
            <w:pPr>
              <w:spacing w:after="0" w:line="240" w:lineRule="auto"/>
              <w:jc w:val="left"/>
              <w:rPr>
                <w:rFonts w:hint="eastAsia" w:ascii="宋体" w:hAnsi="宋体" w:eastAsia="宋体" w:cs="宋体"/>
                <w:b w:val="0"/>
                <w:sz w:val="24"/>
                <w:szCs w:val="32"/>
                <w:lang w:eastAsia="zh-CN"/>
              </w:rPr>
            </w:pPr>
            <w:r>
              <w:rPr>
                <w:rFonts w:hint="eastAsia" w:ascii="宋体" w:hAnsi="宋体" w:eastAsia="宋体" w:cs="宋体"/>
                <w:b w:val="0"/>
                <w:sz w:val="24"/>
                <w:szCs w:val="32"/>
              </w:rPr>
              <w:t>参考文献。该标准关注临床干预流程，本文件聚焦玩具应用，两者形成互补</w:t>
            </w:r>
            <w:r>
              <w:rPr>
                <w:rFonts w:hint="eastAsia" w:ascii="宋体" w:hAnsi="宋体" w:cs="宋体"/>
                <w:b w:val="0"/>
                <w:sz w:val="24"/>
                <w:szCs w:val="32"/>
                <w:lang w:eastAsia="zh-CN"/>
              </w:rPr>
              <w:t>。</w:t>
            </w:r>
          </w:p>
        </w:tc>
      </w:tr>
    </w:tbl>
    <w:p w14:paraId="3DDD9E74">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本文件与上述标准的关系为：在已有国家标准和团体标准的基础上进行细化和补充。具体而言：</w:t>
      </w:r>
    </w:p>
    <w:p w14:paraId="193DB85C">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（1）在安全要求方面，本文件完全引用GB 6675系列标准，未降低安全门槛，并对代际乐龄玩具提出了更严格的儿童安全要求。</w:t>
      </w:r>
    </w:p>
    <w:p w14:paraId="5761A18D">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（2）在适用对象上，本文件参考T/CHTOYS 005—2025的适老玩具概念，专门针对认知障碍人群进行了细分，并给出了基于疾病分期的适配指导，是对现有标准的深化和可操作化。</w:t>
      </w:r>
    </w:p>
    <w:p w14:paraId="3114F4B3">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（3）在智能功能上，本文件在GB/T 41529—2022的基础上，增加了针对认知障碍人群的特殊交互设计、自适应算法和紧急响应等指导。</w:t>
      </w:r>
    </w:p>
    <w:p w14:paraId="256F66CF">
      <w:pPr>
        <w:numPr>
          <w:ilvl w:val="0"/>
          <w:numId w:val="0"/>
        </w:numPr>
        <w:ind w:left="0" w:leftChars="0" w:firstLine="640" w:firstLineChars="200"/>
        <w:rPr>
          <w:rFonts w:hint="eastAsia" w:ascii="黑体" w:hAnsi="黑体" w:eastAsia="黑体" w:cs="黑体"/>
          <w:sz w:val="32"/>
        </w:rPr>
      </w:pPr>
      <w:r>
        <w:rPr>
          <w:rFonts w:hint="eastAsia" w:ascii="黑体" w:hAnsi="黑体" w:eastAsia="黑体" w:cs="黑体"/>
          <w:kern w:val="2"/>
          <w:sz w:val="32"/>
          <w:szCs w:val="24"/>
          <w:lang w:val="en-US" w:eastAsia="zh-CN" w:bidi="ar-SA"/>
        </w:rPr>
        <w:t>五、</w:t>
      </w:r>
      <w:r>
        <w:rPr>
          <w:rFonts w:hint="eastAsia" w:ascii="黑体" w:hAnsi="黑体" w:eastAsia="黑体" w:cs="黑体"/>
          <w:sz w:val="32"/>
        </w:rPr>
        <w:t>主要条款的说明，主要技术指标、参数、实验验证的论述。</w:t>
      </w:r>
    </w:p>
    <w:p w14:paraId="5EF86821">
      <w:pPr>
        <w:spacing w:before="120" w:after="120"/>
        <w:rPr>
          <w:rFonts w:hint="eastAsia" w:ascii="黑体" w:hAnsi="黑体" w:eastAsia="黑体" w:cs="黑体"/>
          <w:b/>
          <w:sz w:val="28"/>
          <w:szCs w:val="28"/>
          <w:lang w:val="en-US" w:eastAsia="zh-CN"/>
        </w:rPr>
      </w:pPr>
      <w:r>
        <w:rPr>
          <w:rFonts w:hint="eastAsia" w:ascii="黑体" w:hAnsi="黑体" w:eastAsia="黑体" w:cs="黑体"/>
          <w:b/>
          <w:sz w:val="28"/>
          <w:szCs w:val="28"/>
          <w:lang w:val="en-US" w:eastAsia="zh-CN"/>
        </w:rPr>
        <w:t>5.1　第3章 术语和定义</w:t>
      </w:r>
    </w:p>
    <w:p w14:paraId="73413CA5">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本章定义了10个核心术语。其中，“认知障碍”“乐龄玩具”“代际乐龄玩具”“分级适配”为本文件的核心定义；“认知训练玩具”“智能乐龄玩具”“非药物干预”“照护者”“适老化设计”明确了应用场景和关键角色。“代际共玩活动”的定义为规范“一老一小”互动场景奠定了基础。（依据初审会意见，术语总数由9个调整为10个，新增“适老化设计”。）</w:t>
      </w:r>
    </w:p>
    <w:p w14:paraId="417E0D8F">
      <w:pPr>
        <w:spacing w:before="120" w:after="120"/>
        <w:rPr>
          <w:rFonts w:hint="eastAsia" w:ascii="黑体" w:hAnsi="黑体" w:eastAsia="黑体" w:cs="黑体"/>
          <w:b/>
          <w:sz w:val="28"/>
          <w:szCs w:val="28"/>
          <w:lang w:val="en-US" w:eastAsia="zh-CN"/>
        </w:rPr>
      </w:pPr>
      <w:r>
        <w:rPr>
          <w:rFonts w:hint="eastAsia" w:ascii="黑体" w:hAnsi="黑体" w:eastAsia="黑体" w:cs="黑体"/>
          <w:b/>
          <w:sz w:val="28"/>
          <w:szCs w:val="28"/>
          <w:lang w:val="en-US" w:eastAsia="zh-CN"/>
        </w:rPr>
        <w:t>5.2　第4章 总体原则</w:t>
      </w:r>
    </w:p>
    <w:p w14:paraId="041FA674">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本章给出了以人为本、分级适配、安全优先、代际共玩兼容、多感官协同、代际互动、难度适应性、数据驱动调节八大原则，作为后续各章具体指导的基础。</w:t>
      </w:r>
    </w:p>
    <w:p w14:paraId="014C356E">
      <w:pPr>
        <w:spacing w:before="120" w:after="120"/>
        <w:rPr>
          <w:rFonts w:hint="eastAsia" w:ascii="黑体" w:hAnsi="黑体" w:eastAsia="黑体" w:cs="黑体"/>
          <w:b/>
          <w:sz w:val="28"/>
          <w:szCs w:val="28"/>
          <w:lang w:val="en-US" w:eastAsia="zh-CN"/>
        </w:rPr>
      </w:pPr>
      <w:r>
        <w:rPr>
          <w:rFonts w:hint="eastAsia" w:ascii="黑体" w:hAnsi="黑体" w:eastAsia="黑体" w:cs="黑体"/>
          <w:b/>
          <w:sz w:val="28"/>
          <w:szCs w:val="28"/>
          <w:lang w:val="en-US" w:eastAsia="zh-CN"/>
        </w:rPr>
        <w:t>5.3　第5章 认知障碍分期与玩具适配</w:t>
      </w:r>
    </w:p>
    <w:p w14:paraId="774273D2">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本章是本文件的核心内容之一。将认知障碍分为轻度认知障碍期（MCI）、轻度痴呆、中度痴呆、重度痴呆四期，并给出了各期玩具适配的具体指导。分期参考了国际通用的临床诊断标准和国内权威诊疗指南。依据初审会专家意见，本章正文聚焦分期与玩具适配的指导，具体的分期评估方法、量表使用要点（AD-8、MoCA、CDR、Barthel指数的评分区间）作为资料性附录A，供使用者参考。其中：</w:t>
      </w:r>
    </w:p>
    <w:p w14:paraId="7F7CD0FE">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（1）轻度认知障碍期（MCI）：AD-8 评分 ≥2 分（筛查阳性），再行 MoCA、CDR 评估。MoCA评分为20—25分，CDR评分0.5分，宜适配中高级认知训练玩具，如策略棋类、多步骤拼图。</w:t>
      </w:r>
    </w:p>
    <w:p w14:paraId="5A1D0EF2">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（2）轻度痴呆：MoCA评分为16—19分，CDR评分1分；日常生活能力轻度受损，Barthel指数评分61—99分，宜适配中等拼图（24—48片）、简易策略棋（跳棋/五子棋）、配对卡、记忆翻牌（8—16对）。</w:t>
      </w:r>
    </w:p>
    <w:p w14:paraId="395305DF">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（3）中度痴呆：MoCA评分为10—15分，CDR评分2分；日常生活能力中度受损，Barthel指数评分41—60分，宜适配初级到中级感官刺激和简化认知玩具，如大块拼图、怀旧道具。</w:t>
      </w:r>
    </w:p>
    <w:p w14:paraId="01D05499">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（4）重度痴呆：MoCA评分≤9分，CDR评分3分；日常生活能力完全丧失，Barthel指数评分≤40分，宜适配无规则的感官安抚类玩具，如毛绒安抚玩偶、发光柔软球。</w:t>
      </w:r>
    </w:p>
    <w:p w14:paraId="0FE429C3">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上述分值区间和适配方案在标准试评价中得到了初步验证，与现有文献报道的认知障碍干预实践基本吻合。注：上述评分区间为参考值，实际应用中宜考虑教育程度校正。根据附录A.2，教育年限不足12年的受试者可在总分上加1分作为校正。</w:t>
      </w:r>
    </w:p>
    <w:p w14:paraId="78B24F92">
      <w:pPr>
        <w:spacing w:before="120" w:after="120"/>
        <w:rPr>
          <w:rFonts w:hint="eastAsia" w:ascii="黑体" w:hAnsi="黑体" w:eastAsia="黑体" w:cs="黑体"/>
          <w:b/>
          <w:sz w:val="28"/>
          <w:szCs w:val="28"/>
          <w:lang w:val="en-US" w:eastAsia="zh-CN"/>
        </w:rPr>
      </w:pPr>
      <w:r>
        <w:rPr>
          <w:rFonts w:hint="eastAsia" w:ascii="黑体" w:hAnsi="黑体" w:eastAsia="黑体" w:cs="黑体"/>
          <w:b/>
          <w:sz w:val="28"/>
          <w:szCs w:val="28"/>
          <w:lang w:val="en-US" w:eastAsia="zh-CN"/>
        </w:rPr>
        <w:t>5.4　第6章 玩具分类与功能</w:t>
      </w:r>
    </w:p>
    <w:p w14:paraId="1E2B0CDE">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本章将乐龄玩具分为认知训练类、运动功能类、情感陪伴类、怀旧触发类、社交互动类五大类，并以表2汇总了各类的核心功能、典型产品和适用分期（依据初审会意见，章标题由“玩具分类与功能要求”调整为“玩具分类与功能”，更符合指南类标准定位）。关键技术参数包括：</w:t>
      </w:r>
    </w:p>
    <w:p w14:paraId="2B157F90">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（1）认知训练类：卡片尺寸不小于50 mm×50 mm，对比度不低于7:1，字体不小于18 pt。</w:t>
      </w:r>
    </w:p>
    <w:p w14:paraId="0252D031">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（2）运动功能类：握持部件直径不小于40 mm，重量50 g—200 g。</w:t>
      </w:r>
    </w:p>
    <w:p w14:paraId="7E612F0A">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（3）情感陪伴类：语音语速不超过120字/分钟。</w:t>
      </w:r>
    </w:p>
    <w:p w14:paraId="017C75DD">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（4）智能版本：宜支持难度渐进、数据记录等功能。</w:t>
      </w:r>
    </w:p>
    <w:p w14:paraId="5B9458ED">
      <w:pPr>
        <w:spacing w:before="120" w:after="120"/>
        <w:rPr>
          <w:rFonts w:hint="eastAsia" w:ascii="黑体" w:hAnsi="黑体" w:eastAsia="黑体" w:cs="黑体"/>
          <w:b/>
          <w:sz w:val="28"/>
          <w:szCs w:val="28"/>
          <w:lang w:val="en-US" w:eastAsia="zh-CN"/>
        </w:rPr>
      </w:pPr>
      <w:r>
        <w:rPr>
          <w:rFonts w:hint="eastAsia" w:ascii="黑体" w:hAnsi="黑体" w:eastAsia="黑体" w:cs="黑体"/>
          <w:b/>
          <w:sz w:val="28"/>
          <w:szCs w:val="28"/>
          <w:lang w:val="en-US" w:eastAsia="zh-CN"/>
        </w:rPr>
        <w:t>5.5　第7章 智能玩具特殊指导</w:t>
      </w:r>
    </w:p>
    <w:p w14:paraId="75A92D13">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本章对智能乐龄玩具给出了详细的技术指导，包括交互设计、自适应与个性化、数据采集与分析、网络连接与安全、隐私保护和紧急响应（依据初审会意见，章标题由“智能玩具特殊要求”调整为“智能玩具特殊指导”）。关键技术参数包括：</w:t>
      </w:r>
    </w:p>
    <w:p w14:paraId="03163DE1">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（1）交互设计：语音识别准确率不低于90%；触控按钮直径不小于12 mm；字体不小于18 pt，对比度不低于7:1。</w:t>
      </w:r>
    </w:p>
    <w:p w14:paraId="338F49DC">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（2）自适应：难度调整幅度不超过一个等级/次。</w:t>
      </w:r>
    </w:p>
    <w:p w14:paraId="20C9F911">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（3）数据安全：数据加密存储（推荐AES—256）。</w:t>
      </w:r>
    </w:p>
    <w:p w14:paraId="63BE6A97">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（4）紧急响应：跌倒检测后30秒内触发告警；SOS按钮面积不小于20 mm×20 mm。</w:t>
      </w:r>
    </w:p>
    <w:p w14:paraId="5E5DEF74">
      <w:pPr>
        <w:spacing w:before="120" w:after="120"/>
        <w:rPr>
          <w:rFonts w:hint="eastAsia" w:ascii="黑体" w:hAnsi="黑体" w:eastAsia="黑体" w:cs="黑体"/>
          <w:b/>
          <w:sz w:val="28"/>
          <w:szCs w:val="28"/>
          <w:lang w:val="en-US" w:eastAsia="zh-CN"/>
        </w:rPr>
      </w:pPr>
      <w:r>
        <w:rPr>
          <w:rFonts w:hint="eastAsia" w:ascii="黑体" w:hAnsi="黑体" w:eastAsia="黑体" w:cs="黑体"/>
          <w:b/>
          <w:sz w:val="28"/>
          <w:szCs w:val="28"/>
          <w:lang w:val="en-US" w:eastAsia="zh-CN"/>
        </w:rPr>
        <w:t>5.6　第8章 应用场景与使用方法</w:t>
      </w:r>
    </w:p>
    <w:p w14:paraId="17C5660C">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本章给出了养老机构场景、社区照护中心场景、家庭照护场景、康复场景四类典型应用场景，在环境布置、活动组织方法、人员配置等方面给出了使用指导（依据初审会意见，“医疗机构场景”调整为“康复场景”，突出本文件非诊疗定位）。</w:t>
      </w:r>
    </w:p>
    <w:p w14:paraId="628F9F6C">
      <w:pPr>
        <w:spacing w:before="120" w:after="120"/>
        <w:rPr>
          <w:rFonts w:hint="eastAsia" w:ascii="黑体" w:hAnsi="黑体" w:eastAsia="黑体" w:cs="黑体"/>
          <w:b/>
          <w:sz w:val="28"/>
          <w:szCs w:val="28"/>
          <w:lang w:val="en-US" w:eastAsia="zh-CN"/>
        </w:rPr>
      </w:pPr>
      <w:r>
        <w:rPr>
          <w:rFonts w:hint="eastAsia" w:ascii="黑体" w:hAnsi="黑体" w:eastAsia="黑体" w:cs="黑体"/>
          <w:b/>
          <w:sz w:val="28"/>
          <w:szCs w:val="28"/>
          <w:lang w:val="en-US" w:eastAsia="zh-CN"/>
        </w:rPr>
        <w:t>5.7　第9章 安全性</w:t>
      </w:r>
    </w:p>
    <w:p w14:paraId="7F6F16BF">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本章从物理、化学、电气、人体工学和心理安全与尊严保护五个维度给出了全面的安全指导。关键指标包括：</w:t>
      </w:r>
    </w:p>
    <w:p w14:paraId="3DDF7EAE">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（1）物理安全：小部件不应存在于中重度患者玩具中；绳索长度不宜超过220 mm。</w:t>
      </w:r>
    </w:p>
    <w:p w14:paraId="6F577EB7">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（2）化学安全：按相关国家/行业标准执行。甲醛释放量指标主要针对毛绒、布艺类玩具，硬质塑料类玩具不适用此指标。</w:t>
      </w:r>
    </w:p>
    <w:p w14:paraId="04004390">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（3）电气安全：充电接口电压不高于5 V；设备表面温度不高于41 ℃。</w:t>
      </w:r>
    </w:p>
    <w:p w14:paraId="2D7C92CC">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（4）人体工学：按键按压力度0.5—3 N。</w:t>
      </w:r>
    </w:p>
    <w:p w14:paraId="6CA4371E">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（5）心理安全：避免“低幼化”设计，尊重成年人审美尊严。</w:t>
      </w:r>
    </w:p>
    <w:p w14:paraId="45194780">
      <w:pPr>
        <w:spacing w:before="120" w:after="120"/>
        <w:rPr>
          <w:rFonts w:hint="eastAsia" w:ascii="黑体" w:hAnsi="黑体" w:eastAsia="黑体" w:cs="黑体"/>
          <w:b/>
          <w:sz w:val="28"/>
          <w:szCs w:val="28"/>
          <w:lang w:val="en-US" w:eastAsia="zh-CN"/>
        </w:rPr>
      </w:pPr>
      <w:r>
        <w:rPr>
          <w:rFonts w:hint="eastAsia" w:ascii="黑体" w:hAnsi="黑体" w:eastAsia="黑体" w:cs="黑体"/>
          <w:b/>
          <w:sz w:val="28"/>
          <w:szCs w:val="28"/>
          <w:lang w:val="en-US" w:eastAsia="zh-CN"/>
        </w:rPr>
        <w:t>5.8　第10章 效果评估与持续改进</w:t>
      </w:r>
    </w:p>
    <w:p w14:paraId="4322FBE1">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本章从认知功能、情绪行为、日常生活能力、玩具使用参与度、照护者负担五个维度给出了评估指标体系（见表3），评估周期参考了认知障碍的自然病程和康复训练的规律，例如认知功能每3—6个月评估一次，情绪行为每3个月评估一次，日常生活能力每3个月评估一次。</w:t>
      </w:r>
    </w:p>
    <w:p w14:paraId="2964A0FE">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依据初审会专家意见，原第11章“标识、包装与说明书要求”属于产品生产环节的要求，超出应用指南的范围，已删除；相关内容建议产品研发生产企业另行制定标准（王瑛、雷洋、冯元利意见）。</w:t>
      </w:r>
    </w:p>
    <w:p w14:paraId="088450C6">
      <w:pPr>
        <w:numPr>
          <w:ilvl w:val="0"/>
          <w:numId w:val="1"/>
        </w:numPr>
        <w:ind w:left="0" w:leftChars="0" w:firstLine="640" w:firstLineChars="200"/>
        <w:rPr>
          <w:rFonts w:hint="eastAsia" w:ascii="黑体" w:hAnsi="黑体" w:eastAsia="黑体" w:cs="黑体"/>
          <w:sz w:val="32"/>
        </w:rPr>
      </w:pPr>
      <w:r>
        <w:rPr>
          <w:rFonts w:hint="eastAsia" w:ascii="黑体" w:hAnsi="黑体" w:eastAsia="黑体" w:cs="黑体"/>
          <w:sz w:val="32"/>
        </w:rPr>
        <w:t>重大意见分歧的处理依据和结果。</w:t>
      </w:r>
    </w:p>
    <w:p w14:paraId="1703C1F2">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在标准制定过程中，主要意见分歧、讨论焦点和处理情况如下：</w:t>
      </w:r>
    </w:p>
    <w:p w14:paraId="2C4701BB">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1）关于“乐龄玩具”与“适老玩具”的命名：部分专家认为“乐龄玩具”一词更具积极情感色彩，且与“乐龄”这一老年人常用称谓相呼应。经讨论，决定沿用“乐龄玩具”作为标准名称，并在术语定义中明确其“适老化”的核心特征。</w:t>
      </w:r>
    </w:p>
    <w:p w14:paraId="08FE98F3">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（2）关于“代际共玩”的安全责任划分：有专家提出，代际共玩场景下，若儿童因使用老人玩具受伤，责任难以界定。经权衡，最终在第8.1.2 e）中给出“代际共玩活动中，不宜将认知障碍人群玩具交由低龄儿童独自玩耍”的指导，并在第9章安全性的注释中强调代际乐龄玩具必须执行GB 6675系列的儿童安全强制限值，从而明确了安全底线。</w:t>
      </w:r>
    </w:p>
    <w:p w14:paraId="3DD48C95">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3）关于玩偶疗法的适用性：有专家担心玩偶疗法可能加重部分患者的妄想症状。经查阅文献并咨询临床专家，最终在第5.2.4节中增加了“对存在妄想、激越症状的患者谨慎使用”的禁忌说明，并建议使用前由专业人员评估适配性。</w:t>
      </w:r>
    </w:p>
    <w:p w14:paraId="731910ED">
      <w:pPr>
        <w:numPr>
          <w:ilvl w:val="0"/>
          <w:numId w:val="0"/>
        </w:numPr>
        <w:ind w:left="0" w:leftChars="0" w:firstLine="640" w:firstLineChars="200"/>
        <w:rPr>
          <w:rFonts w:hint="eastAsia" w:ascii="仿宋_GB2312" w:eastAsia="仿宋_GB2312"/>
          <w:color w:val="auto"/>
          <w:sz w:val="32"/>
          <w:lang w:val="en-US" w:eastAsia="zh-CN"/>
        </w:rPr>
      </w:pPr>
      <w:r>
        <w:rPr>
          <w:rFonts w:hint="eastAsia" w:ascii="仿宋_GB2312" w:eastAsia="仿宋_GB2312"/>
          <w:color w:val="auto"/>
          <w:sz w:val="32"/>
          <w:lang w:val="en-US" w:eastAsia="zh-CN"/>
        </w:rPr>
        <w:t>（4）关于标准框架的讨论（初审会）：有专家建议重新梳理各章逻辑关系、进一步讨论标准化对象的边界（郝永静、冯元利意见）。起草组经研究，保留了“分期适配—分类功能—智能指导—场景方法—安全—评估”的总体框架，删除了超出应用范围的产品标准内容（第11章），并将分期评估方法调整为资料性附录，使文件聚焦于“应用指导”这一核心定位。</w:t>
      </w:r>
    </w:p>
    <w:p w14:paraId="0360A502">
      <w:pPr>
        <w:numPr>
          <w:ilvl w:val="0"/>
          <w:numId w:val="0"/>
        </w:numPr>
        <w:ind w:left="0" w:leftChars="0" w:firstLine="640" w:firstLineChars="200"/>
        <w:rPr>
          <w:rFonts w:hint="eastAsia" w:ascii="黑体" w:hAnsi="黑体" w:eastAsia="黑体" w:cs="黑体"/>
          <w:sz w:val="32"/>
        </w:rPr>
      </w:pPr>
      <w:r>
        <w:rPr>
          <w:rFonts w:hint="eastAsia" w:ascii="仿宋_GB2312" w:eastAsia="仿宋_GB2312"/>
          <w:color w:val="auto"/>
          <w:sz w:val="32"/>
          <w:lang w:val="en-US" w:eastAsia="zh-CN"/>
        </w:rPr>
        <w:t>（5）关于T/CHTOYS 005—2025的引用方式（初审会）：冯元利专家建议不引用其他团体的团体标准，张小霞专家建议将其调整为参考文献。经起草组讨论，采纳后者，将其从规范性引用文件调整为参考文献。</w:t>
      </w:r>
    </w:p>
    <w:p w14:paraId="3B837D81">
      <w:pPr>
        <w:keepNext w:val="0"/>
        <w:keepLines w:val="0"/>
        <w:pageBreakBefore w:val="0"/>
        <w:widowControl w:val="0"/>
        <w:numPr>
          <w:ilvl w:val="0"/>
          <w:numId w:val="0"/>
        </w:numPr>
        <w:kinsoku/>
        <w:wordWrap/>
        <w:overflowPunct/>
        <w:topLinePunct w:val="0"/>
        <w:autoSpaceDE/>
        <w:autoSpaceDN/>
        <w:bidi w:val="0"/>
        <w:adjustRightInd/>
        <w:snapToGrid/>
        <w:ind w:left="0" w:leftChars="0" w:firstLine="640" w:firstLineChars="200"/>
        <w:textAlignment w:val="auto"/>
        <w:rPr>
          <w:rFonts w:hint="eastAsia" w:ascii="黑体" w:hAnsi="黑体" w:eastAsia="黑体" w:cs="黑体"/>
          <w:color w:val="auto"/>
          <w:sz w:val="32"/>
        </w:rPr>
      </w:pPr>
      <w:r>
        <w:rPr>
          <w:rFonts w:hint="eastAsia" w:ascii="黑体" w:hAnsi="黑体" w:eastAsia="黑体" w:cs="黑体"/>
          <w:color w:val="auto"/>
          <w:kern w:val="2"/>
          <w:sz w:val="32"/>
          <w:szCs w:val="24"/>
          <w:lang w:val="en-US" w:eastAsia="zh-CN" w:bidi="ar-SA"/>
        </w:rPr>
        <w:t>七、</w:t>
      </w:r>
      <w:r>
        <w:rPr>
          <w:rFonts w:hint="eastAsia" w:ascii="黑体" w:hAnsi="黑体" w:eastAsia="黑体" w:cs="黑体"/>
          <w:color w:val="auto"/>
          <w:sz w:val="32"/>
        </w:rPr>
        <w:t>与国内外同类标准水平的对比情况。</w:t>
      </w:r>
    </w:p>
    <w:p w14:paraId="2E453870">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lang w:val="en-US" w:eastAsia="zh-CN"/>
        </w:rPr>
      </w:pPr>
      <w:r>
        <w:rPr>
          <w:rFonts w:hint="eastAsia" w:ascii="仿宋_GB2312" w:eastAsia="仿宋_GB2312"/>
          <w:color w:val="auto"/>
          <w:sz w:val="32"/>
          <w:lang w:val="en-US" w:eastAsia="zh-CN"/>
        </w:rPr>
        <w:t>经检索，目前国内外尚无专门针对认知障碍相关乐龄玩具应用指南的标准。与本文件相关的现有标准主要包括：</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7"/>
        <w:gridCol w:w="1764"/>
        <w:gridCol w:w="2098"/>
        <w:gridCol w:w="3043"/>
      </w:tblGrid>
      <w:tr w14:paraId="265D2F2E">
        <w:tblPrEx>
          <w:tblCellMar>
            <w:top w:w="0" w:type="dxa"/>
            <w:left w:w="108" w:type="dxa"/>
            <w:bottom w:w="0" w:type="dxa"/>
            <w:right w:w="108" w:type="dxa"/>
          </w:tblCellMar>
        </w:tblPrEx>
        <w:trPr>
          <w:jc w:val="center"/>
        </w:trPr>
        <w:tc>
          <w:tcPr>
            <w:tcW w:w="1617" w:type="dxa"/>
          </w:tcPr>
          <w:p w14:paraId="7F4C089E">
            <w:pPr>
              <w:spacing w:after="0" w:line="240" w:lineRule="auto"/>
              <w:jc w:val="center"/>
            </w:pPr>
            <w:r>
              <w:rPr>
                <w:rFonts w:ascii="黑体" w:hAnsi="黑体" w:eastAsia="黑体" w:cs="黑体"/>
                <w:b/>
                <w:sz w:val="21"/>
              </w:rPr>
              <w:t>标准</w:t>
            </w:r>
          </w:p>
        </w:tc>
        <w:tc>
          <w:tcPr>
            <w:tcW w:w="1764" w:type="dxa"/>
          </w:tcPr>
          <w:p w14:paraId="1B87F628">
            <w:pPr>
              <w:spacing w:after="0" w:line="240" w:lineRule="auto"/>
              <w:jc w:val="center"/>
            </w:pPr>
            <w:r>
              <w:rPr>
                <w:rFonts w:ascii="黑体" w:hAnsi="黑体" w:eastAsia="黑体" w:cs="黑体"/>
                <w:b/>
                <w:sz w:val="21"/>
              </w:rPr>
              <w:t>适用范围</w:t>
            </w:r>
          </w:p>
        </w:tc>
        <w:tc>
          <w:tcPr>
            <w:tcW w:w="2098" w:type="dxa"/>
          </w:tcPr>
          <w:p w14:paraId="759B7A4A">
            <w:pPr>
              <w:spacing w:after="0" w:line="240" w:lineRule="auto"/>
              <w:jc w:val="center"/>
            </w:pPr>
            <w:r>
              <w:rPr>
                <w:rFonts w:ascii="黑体" w:hAnsi="黑体" w:eastAsia="黑体" w:cs="黑体"/>
                <w:b/>
                <w:sz w:val="21"/>
              </w:rPr>
              <w:t>局限性</w:t>
            </w:r>
          </w:p>
        </w:tc>
        <w:tc>
          <w:tcPr>
            <w:tcW w:w="3043" w:type="dxa"/>
          </w:tcPr>
          <w:p w14:paraId="7AFA3E50">
            <w:pPr>
              <w:spacing w:after="0" w:line="240" w:lineRule="auto"/>
              <w:jc w:val="center"/>
            </w:pPr>
            <w:r>
              <w:rPr>
                <w:rFonts w:ascii="黑体" w:hAnsi="黑体" w:eastAsia="黑体" w:cs="黑体"/>
                <w:b/>
                <w:sz w:val="21"/>
              </w:rPr>
              <w:t>本文件的优势</w:t>
            </w:r>
          </w:p>
        </w:tc>
      </w:tr>
      <w:tr w14:paraId="06FD4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7" w:type="dxa"/>
          </w:tcPr>
          <w:p w14:paraId="01B93274">
            <w:pPr>
              <w:spacing w:after="0" w:line="240" w:lineRule="auto"/>
            </w:pPr>
            <w:r>
              <w:rPr>
                <w:rFonts w:ascii="宋体" w:hAnsi="宋体" w:eastAsia="宋体" w:cs="宋体"/>
                <w:b w:val="0"/>
                <w:sz w:val="21"/>
              </w:rPr>
              <w:t>ISO 9999:2022</w:t>
            </w:r>
          </w:p>
        </w:tc>
        <w:tc>
          <w:tcPr>
            <w:tcW w:w="1764" w:type="dxa"/>
          </w:tcPr>
          <w:p w14:paraId="2FCFA3EA">
            <w:pPr>
              <w:spacing w:after="0" w:line="240" w:lineRule="auto"/>
            </w:pPr>
            <w:r>
              <w:rPr>
                <w:rFonts w:ascii="宋体" w:hAnsi="宋体" w:eastAsia="宋体" w:cs="宋体"/>
                <w:b w:val="0"/>
                <w:sz w:val="21"/>
              </w:rPr>
              <w:t>残疾人辅助器具分类</w:t>
            </w:r>
          </w:p>
        </w:tc>
        <w:tc>
          <w:tcPr>
            <w:tcW w:w="2098" w:type="dxa"/>
          </w:tcPr>
          <w:p w14:paraId="42EE8F0B">
            <w:pPr>
              <w:spacing w:after="0" w:line="240" w:lineRule="auto"/>
            </w:pPr>
            <w:r>
              <w:rPr>
                <w:rFonts w:ascii="宋体" w:hAnsi="宋体" w:eastAsia="宋体" w:cs="宋体"/>
                <w:b w:val="0"/>
                <w:sz w:val="21"/>
              </w:rPr>
              <w:t>仅为分类框架，无具体应用指南。</w:t>
            </w:r>
          </w:p>
        </w:tc>
        <w:tc>
          <w:tcPr>
            <w:tcW w:w="3043" w:type="dxa"/>
          </w:tcPr>
          <w:p w14:paraId="1A4040F9">
            <w:pPr>
              <w:spacing w:after="0" w:line="240" w:lineRule="auto"/>
            </w:pPr>
            <w:r>
              <w:rPr>
                <w:rFonts w:ascii="宋体" w:hAnsi="宋体" w:eastAsia="宋体" w:cs="宋体"/>
                <w:b w:val="0"/>
                <w:sz w:val="21"/>
              </w:rPr>
              <w:t>建立了基于认知障碍分期的全流程应用指南。</w:t>
            </w:r>
          </w:p>
        </w:tc>
      </w:tr>
      <w:tr w14:paraId="2FF17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7" w:type="dxa"/>
          </w:tcPr>
          <w:p w14:paraId="19A5722E">
            <w:pPr>
              <w:spacing w:after="0" w:line="240" w:lineRule="auto"/>
            </w:pPr>
            <w:r>
              <w:rPr>
                <w:rFonts w:ascii="宋体" w:hAnsi="宋体" w:eastAsia="宋体" w:cs="宋体"/>
                <w:b w:val="0"/>
                <w:sz w:val="21"/>
              </w:rPr>
              <w:t>GB/T 28022—2021</w:t>
            </w:r>
          </w:p>
        </w:tc>
        <w:tc>
          <w:tcPr>
            <w:tcW w:w="1764" w:type="dxa"/>
          </w:tcPr>
          <w:p w14:paraId="0D262E7B">
            <w:pPr>
              <w:spacing w:after="0" w:line="240" w:lineRule="auto"/>
            </w:pPr>
            <w:r>
              <w:rPr>
                <w:rFonts w:ascii="宋体" w:hAnsi="宋体" w:eastAsia="宋体" w:cs="宋体"/>
                <w:b w:val="0"/>
                <w:sz w:val="21"/>
              </w:rPr>
              <w:t>普通玩具适用年龄判定</w:t>
            </w:r>
          </w:p>
        </w:tc>
        <w:tc>
          <w:tcPr>
            <w:tcW w:w="2098" w:type="dxa"/>
          </w:tcPr>
          <w:p w14:paraId="250D9376">
            <w:pPr>
              <w:spacing w:after="0" w:line="240" w:lineRule="auto"/>
            </w:pPr>
            <w:r>
              <w:rPr>
                <w:rFonts w:ascii="宋体" w:hAnsi="宋体" w:eastAsia="宋体" w:cs="宋体"/>
                <w:b w:val="0"/>
                <w:sz w:val="21"/>
              </w:rPr>
              <w:t>未考虑认知障碍人群的特殊性。</w:t>
            </w:r>
          </w:p>
        </w:tc>
        <w:tc>
          <w:tcPr>
            <w:tcW w:w="3043" w:type="dxa"/>
          </w:tcPr>
          <w:p w14:paraId="2B29A860">
            <w:pPr>
              <w:spacing w:after="0" w:line="240" w:lineRule="auto"/>
            </w:pPr>
            <w:r>
              <w:rPr>
                <w:rFonts w:ascii="宋体" w:hAnsi="宋体" w:eastAsia="宋体" w:cs="宋体"/>
                <w:b w:val="0"/>
                <w:sz w:val="21"/>
              </w:rPr>
              <w:t>专门针对认知障碍人群设计，涵盖疾病分期适配。</w:t>
            </w:r>
          </w:p>
        </w:tc>
      </w:tr>
      <w:tr w14:paraId="5F1D7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7" w:type="dxa"/>
          </w:tcPr>
          <w:p w14:paraId="077592C8">
            <w:pPr>
              <w:spacing w:after="0" w:line="240" w:lineRule="auto"/>
            </w:pPr>
            <w:r>
              <w:rPr>
                <w:rFonts w:ascii="宋体" w:hAnsi="宋体" w:eastAsia="宋体" w:cs="宋体"/>
                <w:b w:val="0"/>
                <w:sz w:val="21"/>
              </w:rPr>
              <w:t>GB/T 45122—2024</w:t>
            </w:r>
          </w:p>
        </w:tc>
        <w:tc>
          <w:tcPr>
            <w:tcW w:w="1764" w:type="dxa"/>
          </w:tcPr>
          <w:p w14:paraId="12BB8E3E">
            <w:pPr>
              <w:spacing w:after="0" w:line="240" w:lineRule="auto"/>
            </w:pPr>
            <w:r>
              <w:rPr>
                <w:rFonts w:ascii="宋体" w:hAnsi="宋体" w:eastAsia="宋体" w:cs="宋体"/>
                <w:b w:val="0"/>
                <w:sz w:val="21"/>
              </w:rPr>
              <w:t>消费品适老无障碍设计</w:t>
            </w:r>
          </w:p>
        </w:tc>
        <w:tc>
          <w:tcPr>
            <w:tcW w:w="2098" w:type="dxa"/>
          </w:tcPr>
          <w:p w14:paraId="75AE86E4">
            <w:pPr>
              <w:spacing w:after="0" w:line="240" w:lineRule="auto"/>
            </w:pPr>
            <w:r>
              <w:rPr>
                <w:rFonts w:ascii="宋体" w:hAnsi="宋体" w:eastAsia="宋体" w:cs="宋体"/>
                <w:b w:val="0"/>
                <w:sz w:val="21"/>
              </w:rPr>
              <w:t>通用性要求，未聚焦认知障碍。</w:t>
            </w:r>
          </w:p>
        </w:tc>
        <w:tc>
          <w:tcPr>
            <w:tcW w:w="3043" w:type="dxa"/>
          </w:tcPr>
          <w:p w14:paraId="45E404E8">
            <w:pPr>
              <w:spacing w:after="0" w:line="240" w:lineRule="auto"/>
            </w:pPr>
            <w:r>
              <w:rPr>
                <w:rFonts w:ascii="宋体" w:hAnsi="宋体" w:eastAsia="宋体" w:cs="宋体"/>
                <w:b w:val="0"/>
                <w:sz w:val="21"/>
              </w:rPr>
              <w:t>针对认知障碍的精细化设计指导，如认知负荷控制、多感官协同等。</w:t>
            </w:r>
          </w:p>
        </w:tc>
      </w:tr>
      <w:tr w14:paraId="1F6C9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7" w:type="dxa"/>
          </w:tcPr>
          <w:p w14:paraId="1FB09AD7">
            <w:pPr>
              <w:spacing w:after="0" w:line="240" w:lineRule="auto"/>
            </w:pPr>
            <w:r>
              <w:rPr>
                <w:rFonts w:ascii="宋体" w:hAnsi="宋体" w:eastAsia="宋体" w:cs="宋体"/>
                <w:b w:val="0"/>
                <w:sz w:val="21"/>
              </w:rPr>
              <w:t>ASTM F963-23</w:t>
            </w:r>
          </w:p>
        </w:tc>
        <w:tc>
          <w:tcPr>
            <w:tcW w:w="1764" w:type="dxa"/>
          </w:tcPr>
          <w:p w14:paraId="31A156E6">
            <w:pPr>
              <w:spacing w:after="0" w:line="240" w:lineRule="auto"/>
            </w:pPr>
            <w:r>
              <w:rPr>
                <w:rFonts w:ascii="宋体" w:hAnsi="宋体" w:eastAsia="宋体" w:cs="宋体"/>
                <w:b w:val="0"/>
                <w:sz w:val="21"/>
              </w:rPr>
              <w:t>玩具安全标准</w:t>
            </w:r>
          </w:p>
        </w:tc>
        <w:tc>
          <w:tcPr>
            <w:tcW w:w="2098" w:type="dxa"/>
          </w:tcPr>
          <w:p w14:paraId="1EC65A1E">
            <w:pPr>
              <w:spacing w:after="0" w:line="240" w:lineRule="auto"/>
            </w:pPr>
            <w:r>
              <w:rPr>
                <w:rFonts w:ascii="宋体" w:hAnsi="宋体" w:eastAsia="宋体" w:cs="宋体"/>
                <w:b w:val="0"/>
                <w:sz w:val="21"/>
              </w:rPr>
              <w:t>仅限安全要求。</w:t>
            </w:r>
          </w:p>
        </w:tc>
        <w:tc>
          <w:tcPr>
            <w:tcW w:w="3043" w:type="dxa"/>
          </w:tcPr>
          <w:p w14:paraId="084D1949">
            <w:pPr>
              <w:spacing w:after="0" w:line="240" w:lineRule="auto"/>
            </w:pPr>
            <w:r>
              <w:rPr>
                <w:rFonts w:ascii="宋体" w:hAnsi="宋体" w:eastAsia="宋体" w:cs="宋体"/>
                <w:b w:val="0"/>
                <w:sz w:val="21"/>
              </w:rPr>
              <w:t>在安全基础上增加了康复功能、应用场景和效果评估指导。</w:t>
            </w:r>
          </w:p>
        </w:tc>
      </w:tr>
      <w:tr w14:paraId="7DEF4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7" w:type="dxa"/>
          </w:tcPr>
          <w:p w14:paraId="30C04BF2">
            <w:pPr>
              <w:spacing w:after="0" w:line="240" w:lineRule="auto"/>
            </w:pPr>
            <w:r>
              <w:rPr>
                <w:rFonts w:ascii="宋体" w:hAnsi="宋体" w:eastAsia="宋体" w:cs="宋体"/>
                <w:b w:val="0"/>
                <w:sz w:val="21"/>
              </w:rPr>
              <w:t>T/CHTOYS 005—2025</w:t>
            </w:r>
          </w:p>
        </w:tc>
        <w:tc>
          <w:tcPr>
            <w:tcW w:w="1764" w:type="dxa"/>
          </w:tcPr>
          <w:p w14:paraId="2391B816">
            <w:pPr>
              <w:spacing w:after="0" w:line="240" w:lineRule="auto"/>
            </w:pPr>
            <w:r>
              <w:rPr>
                <w:rFonts w:ascii="宋体" w:hAnsi="宋体" w:eastAsia="宋体" w:cs="宋体"/>
                <w:b w:val="0"/>
                <w:sz w:val="21"/>
              </w:rPr>
              <w:t>适老玩具</w:t>
            </w:r>
          </w:p>
        </w:tc>
        <w:tc>
          <w:tcPr>
            <w:tcW w:w="2098" w:type="dxa"/>
          </w:tcPr>
          <w:p w14:paraId="601414C2">
            <w:pPr>
              <w:spacing w:after="0" w:line="240" w:lineRule="auto"/>
            </w:pPr>
            <w:r>
              <w:rPr>
                <w:rFonts w:ascii="宋体" w:hAnsi="宋体" w:eastAsia="宋体" w:cs="宋体"/>
                <w:b w:val="0"/>
                <w:sz w:val="21"/>
              </w:rPr>
              <w:t>未区分认知障碍与非认知障碍老人。</w:t>
            </w:r>
          </w:p>
        </w:tc>
        <w:tc>
          <w:tcPr>
            <w:tcW w:w="3043" w:type="dxa"/>
          </w:tcPr>
          <w:p w14:paraId="51B46FF3">
            <w:pPr>
              <w:spacing w:after="0" w:line="240" w:lineRule="auto"/>
            </w:pPr>
            <w:r>
              <w:rPr>
                <w:rFonts w:ascii="宋体" w:hAnsi="宋体" w:eastAsia="宋体" w:cs="宋体"/>
                <w:b w:val="0"/>
                <w:sz w:val="21"/>
              </w:rPr>
              <w:t>对认知障碍人群进行了四级细分，并给出针对性适配方案。</w:t>
            </w:r>
          </w:p>
        </w:tc>
      </w:tr>
    </w:tbl>
    <w:p w14:paraId="36A96DE8">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lang w:val="en-US" w:eastAsia="zh-CN"/>
        </w:rPr>
      </w:pPr>
      <w:r>
        <w:rPr>
          <w:rFonts w:hint="eastAsia" w:ascii="仿宋_GB2312" w:eastAsia="仿宋_GB2312"/>
          <w:color w:val="auto"/>
          <w:sz w:val="32"/>
          <w:lang w:val="en-US" w:eastAsia="zh-CN"/>
        </w:rPr>
        <w:t>综上所述，本文件在国内属于首创，在国际上也处于领先水平。在认知障碍分期与玩具适配的量化关系、代际共玩的兼容性规范、智能玩具的个性化与数据驱动改进等方面具有显著的创新性和引领性。</w:t>
      </w:r>
    </w:p>
    <w:p w14:paraId="1DC1E334">
      <w:pPr>
        <w:numPr>
          <w:ilvl w:val="0"/>
          <w:numId w:val="0"/>
        </w:numPr>
        <w:ind w:left="0" w:leftChars="0" w:firstLine="640" w:firstLineChars="200"/>
        <w:rPr>
          <w:rFonts w:hint="eastAsia" w:ascii="黑体" w:hAnsi="黑体" w:eastAsia="黑体" w:cs="黑体"/>
          <w:sz w:val="32"/>
        </w:rPr>
      </w:pPr>
      <w:r>
        <w:rPr>
          <w:rFonts w:hint="eastAsia" w:ascii="黑体" w:hAnsi="黑体" w:eastAsia="黑体" w:cs="黑体"/>
          <w:kern w:val="2"/>
          <w:sz w:val="32"/>
          <w:szCs w:val="24"/>
          <w:lang w:val="en-US" w:eastAsia="zh-CN" w:bidi="ar-SA"/>
        </w:rPr>
        <w:t>八、</w:t>
      </w:r>
      <w:r>
        <w:rPr>
          <w:rFonts w:hint="eastAsia" w:ascii="黑体" w:hAnsi="黑体" w:eastAsia="黑体" w:cs="黑体"/>
          <w:sz w:val="32"/>
        </w:rPr>
        <w:t>实施标准的措施</w:t>
      </w:r>
      <w:r>
        <w:rPr>
          <w:rFonts w:hint="eastAsia" w:ascii="黑体" w:hAnsi="黑体" w:eastAsia="黑体" w:cs="黑体"/>
          <w:sz w:val="32"/>
          <w:lang w:eastAsia="zh-CN"/>
        </w:rPr>
        <w:t>（</w:t>
      </w:r>
      <w:r>
        <w:rPr>
          <w:rFonts w:hint="eastAsia" w:ascii="黑体" w:hAnsi="黑体" w:eastAsia="黑体" w:cs="黑体"/>
          <w:sz w:val="32"/>
        </w:rPr>
        <w:t>政策措施/宣贯培训/试点示范</w:t>
      </w:r>
      <w:r>
        <w:rPr>
          <w:rFonts w:hint="eastAsia" w:ascii="黑体" w:hAnsi="黑体" w:eastAsia="黑体" w:cs="黑体"/>
          <w:sz w:val="32"/>
          <w:lang w:val="en-US" w:eastAsia="zh-CN"/>
        </w:rPr>
        <w:t>/</w:t>
      </w:r>
      <w:r>
        <w:rPr>
          <w:rFonts w:hint="eastAsia" w:ascii="黑体" w:hAnsi="黑体" w:eastAsia="黑体" w:cs="黑体"/>
          <w:sz w:val="32"/>
          <w:lang w:eastAsia="zh-CN"/>
        </w:rPr>
        <w:t>监督检查</w:t>
      </w:r>
      <w:r>
        <w:rPr>
          <w:rFonts w:hint="eastAsia" w:ascii="黑体" w:hAnsi="黑体" w:eastAsia="黑体" w:cs="黑体"/>
          <w:sz w:val="32"/>
        </w:rPr>
        <w:t>/配套资金等</w:t>
      </w:r>
      <w:r>
        <w:rPr>
          <w:rFonts w:hint="eastAsia" w:ascii="黑体" w:hAnsi="黑体" w:eastAsia="黑体" w:cs="黑体"/>
          <w:sz w:val="32"/>
          <w:lang w:eastAsia="zh-CN"/>
        </w:rPr>
        <w:t>）</w:t>
      </w:r>
      <w:r>
        <w:rPr>
          <w:rFonts w:hint="eastAsia" w:ascii="黑体" w:hAnsi="黑体" w:eastAsia="黑体" w:cs="黑体"/>
          <w:sz w:val="32"/>
        </w:rPr>
        <w:t>。</w:t>
      </w:r>
    </w:p>
    <w:p w14:paraId="343A0847">
      <w:pPr>
        <w:spacing w:before="120" w:after="120"/>
        <w:rPr>
          <w:sz w:val="28"/>
          <w:szCs w:val="28"/>
        </w:rPr>
      </w:pPr>
      <w:r>
        <w:rPr>
          <w:rFonts w:ascii="黑体" w:hAnsi="黑体" w:eastAsia="黑体" w:cs="黑体"/>
          <w:b/>
          <w:sz w:val="28"/>
          <w:szCs w:val="28"/>
        </w:rPr>
        <w:t>8.1　政策措施</w:t>
      </w:r>
    </w:p>
    <w:p w14:paraId="1C18C23D">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lang w:val="en-US" w:eastAsia="zh-CN"/>
        </w:rPr>
      </w:pPr>
      <w:r>
        <w:rPr>
          <w:rFonts w:hint="eastAsia" w:ascii="仿宋_GB2312" w:eastAsia="仿宋_GB2312"/>
          <w:color w:val="auto"/>
          <w:sz w:val="32"/>
          <w:lang w:val="en-US" w:eastAsia="zh-CN"/>
        </w:rPr>
        <w:t>建议北京标准化协会会同相关行业主管部门，将本文件纳入认知障碍非药物干预推荐指南，在养老机构星级评定、社区照护服务采购、长护险服务项目等方面给予采信。</w:t>
      </w:r>
    </w:p>
    <w:p w14:paraId="5E11EFE4">
      <w:pPr>
        <w:spacing w:before="120" w:after="120"/>
        <w:rPr>
          <w:sz w:val="28"/>
          <w:szCs w:val="28"/>
        </w:rPr>
      </w:pPr>
      <w:r>
        <w:rPr>
          <w:rFonts w:ascii="黑体" w:hAnsi="黑体" w:eastAsia="黑体" w:cs="黑体"/>
          <w:b/>
          <w:sz w:val="28"/>
          <w:szCs w:val="28"/>
        </w:rPr>
        <w:t>8.2　宣贯培训</w:t>
      </w:r>
    </w:p>
    <w:p w14:paraId="412947B4">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lang w:val="en-US" w:eastAsia="zh-CN"/>
        </w:rPr>
      </w:pPr>
      <w:r>
        <w:rPr>
          <w:rFonts w:hint="eastAsia" w:ascii="仿宋_GB2312" w:eastAsia="仿宋_GB2312"/>
          <w:color w:val="auto"/>
          <w:sz w:val="32"/>
          <w:lang w:val="en-US" w:eastAsia="zh-CN"/>
        </w:rPr>
        <w:t>举办标准宣贯培训班，面向养老机构、社区服务中心、康复机构、产品研发企业等目标群体，每年不少于2期；制作标准解读手册、操作指南海报和教学视频，通过协会官网、公众号、行业媒体等渠道免费发布；在世界阿尔茨海默病日、老年健康宣传周等节点开展专题科普活动。</w:t>
      </w:r>
    </w:p>
    <w:p w14:paraId="6418B7DA">
      <w:pPr>
        <w:spacing w:before="120" w:after="120"/>
        <w:rPr>
          <w:sz w:val="28"/>
          <w:szCs w:val="28"/>
        </w:rPr>
      </w:pPr>
      <w:r>
        <w:rPr>
          <w:rFonts w:ascii="黑体" w:hAnsi="黑体" w:eastAsia="黑体" w:cs="黑体"/>
          <w:b/>
          <w:sz w:val="28"/>
          <w:szCs w:val="28"/>
        </w:rPr>
        <w:t>8.3　试点示范</w:t>
      </w:r>
    </w:p>
    <w:p w14:paraId="195694C1">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lang w:val="en-US" w:eastAsia="zh-CN"/>
        </w:rPr>
      </w:pPr>
      <w:r>
        <w:rPr>
          <w:rFonts w:hint="eastAsia" w:ascii="仿宋_GB2312" w:eastAsia="仿宋_GB2312"/>
          <w:color w:val="auto"/>
          <w:sz w:val="32"/>
          <w:lang w:val="en-US" w:eastAsia="zh-CN"/>
        </w:rPr>
        <w:t>在北京、上海、广州、成都等城市选择6家养老机构和5家社区照护中心作为首批试点单位；在试评价基础上扩大范围。建立标准实施效果跟踪评估机制，每半年采集一次数据，为标准修订提供依据。</w:t>
      </w:r>
    </w:p>
    <w:p w14:paraId="62E2C1DF">
      <w:pPr>
        <w:spacing w:before="120" w:after="120"/>
        <w:rPr>
          <w:sz w:val="28"/>
          <w:szCs w:val="28"/>
        </w:rPr>
      </w:pPr>
      <w:r>
        <w:rPr>
          <w:rFonts w:ascii="黑体" w:hAnsi="黑体" w:eastAsia="黑体" w:cs="黑体"/>
          <w:b/>
          <w:sz w:val="28"/>
          <w:szCs w:val="28"/>
        </w:rPr>
        <w:t>8.4　监督检查</w:t>
      </w:r>
    </w:p>
    <w:p w14:paraId="3AA225D2">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lang w:val="en-US" w:eastAsia="zh-CN"/>
        </w:rPr>
      </w:pPr>
      <w:r>
        <w:rPr>
          <w:rFonts w:hint="eastAsia" w:ascii="仿宋_GB2312" w:eastAsia="仿宋_GB2312"/>
          <w:color w:val="auto"/>
          <w:sz w:val="32"/>
          <w:lang w:val="en-US" w:eastAsia="zh-CN"/>
        </w:rPr>
        <w:t>配合市场监管部门开展乐龄玩具产品质量抽查，重点检查产品安全指标是否符合GB 6675系列强制性国家标准的要求；建立用户反馈和投诉渠道，规范“认知障碍适配”类宣传标识的使用。</w:t>
      </w:r>
    </w:p>
    <w:p w14:paraId="21B878DC">
      <w:pPr>
        <w:spacing w:before="120" w:after="120"/>
        <w:rPr>
          <w:sz w:val="28"/>
          <w:szCs w:val="28"/>
        </w:rPr>
      </w:pPr>
      <w:r>
        <w:rPr>
          <w:rFonts w:ascii="黑体" w:hAnsi="黑体" w:eastAsia="黑体" w:cs="黑体"/>
          <w:b/>
          <w:sz w:val="28"/>
          <w:szCs w:val="28"/>
        </w:rPr>
        <w:t>8.5　配套资金</w:t>
      </w:r>
    </w:p>
    <w:p w14:paraId="798969B6">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lang w:val="en-US" w:eastAsia="zh-CN"/>
        </w:rPr>
      </w:pPr>
      <w:r>
        <w:rPr>
          <w:rFonts w:hint="eastAsia" w:ascii="仿宋_GB2312" w:eastAsia="仿宋_GB2312"/>
          <w:color w:val="auto"/>
          <w:sz w:val="32"/>
          <w:lang w:val="en-US" w:eastAsia="zh-CN"/>
        </w:rPr>
        <w:t>建议申请北京市标准化专项资金支持，用于标准宣贯培训、试点示范和数据采集等工作。同时鼓励起草单位自筹资金，推动标准落地实施。</w:t>
      </w:r>
    </w:p>
    <w:p w14:paraId="571F3D51">
      <w:pPr>
        <w:numPr>
          <w:ilvl w:val="0"/>
          <w:numId w:val="0"/>
        </w:numPr>
        <w:ind w:left="0" w:leftChars="0" w:firstLine="640" w:firstLineChars="200"/>
        <w:rPr>
          <w:rFonts w:hint="eastAsia" w:ascii="黑体" w:hAnsi="黑体" w:eastAsia="黑体" w:cs="黑体"/>
          <w:sz w:val="32"/>
        </w:rPr>
      </w:pPr>
      <w:r>
        <w:rPr>
          <w:rFonts w:hint="eastAsia" w:ascii="黑体" w:hAnsi="黑体" w:eastAsia="黑体" w:cs="黑体"/>
          <w:kern w:val="2"/>
          <w:sz w:val="32"/>
          <w:szCs w:val="24"/>
          <w:lang w:val="en-US" w:eastAsia="zh-CN" w:bidi="ar-SA"/>
        </w:rPr>
        <w:t>九、</w:t>
      </w:r>
      <w:r>
        <w:rPr>
          <w:rFonts w:hint="eastAsia" w:ascii="黑体" w:hAnsi="黑体" w:eastAsia="黑体" w:cs="黑体"/>
          <w:sz w:val="32"/>
        </w:rPr>
        <w:t>其他应说明的事项。</w:t>
      </w:r>
    </w:p>
    <w:p w14:paraId="60C2E36E">
      <w:pPr>
        <w:spacing w:before="120" w:after="120"/>
        <w:rPr>
          <w:sz w:val="28"/>
          <w:szCs w:val="28"/>
        </w:rPr>
      </w:pPr>
      <w:r>
        <w:rPr>
          <w:rFonts w:ascii="黑体" w:hAnsi="黑体" w:eastAsia="黑体" w:cs="黑体"/>
          <w:b/>
          <w:sz w:val="28"/>
          <w:szCs w:val="28"/>
        </w:rPr>
        <w:t>9.1　专利声明</w:t>
      </w:r>
    </w:p>
    <w:p w14:paraId="4EE6CD7D">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lang w:val="en-US" w:eastAsia="zh-CN"/>
        </w:rPr>
      </w:pPr>
      <w:r>
        <w:rPr>
          <w:rFonts w:hint="eastAsia" w:ascii="仿宋_GB2312" w:eastAsia="仿宋_GB2312"/>
          <w:color w:val="auto"/>
          <w:sz w:val="32"/>
          <w:lang w:val="en-US" w:eastAsia="zh-CN"/>
        </w:rPr>
        <w:t>本文件的部分技术内容可能涉及相关专利。本文件的发布机构不承担识别专利的责任。如有专利问题，请相关权利人按照GB/T 1.1—2020的要求向北京标准化协会提交专利实施许可声明。</w:t>
      </w:r>
    </w:p>
    <w:p w14:paraId="3F57A435">
      <w:pPr>
        <w:spacing w:before="120" w:after="120"/>
        <w:rPr>
          <w:sz w:val="28"/>
          <w:szCs w:val="28"/>
        </w:rPr>
      </w:pPr>
      <w:r>
        <w:rPr>
          <w:rFonts w:ascii="黑体" w:hAnsi="黑体" w:eastAsia="黑体" w:cs="黑体"/>
          <w:b/>
          <w:sz w:val="28"/>
          <w:szCs w:val="28"/>
        </w:rPr>
        <w:t>9.2　独家垄断声明</w:t>
      </w:r>
    </w:p>
    <w:p w14:paraId="204DF3AD">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lang w:val="en-US" w:eastAsia="zh-CN"/>
        </w:rPr>
      </w:pPr>
      <w:r>
        <w:rPr>
          <w:rFonts w:hint="eastAsia" w:ascii="仿宋_GB2312" w:eastAsia="仿宋_GB2312"/>
          <w:color w:val="auto"/>
          <w:sz w:val="32"/>
          <w:lang w:val="en-US" w:eastAsia="zh-CN"/>
        </w:rPr>
        <w:t>本文件不存在独家垄断情形。本文件为指南类标准，各项内容均为开放性指导，任何符合条件的生产企业和产品均可参照本文件进行适配和应用。</w:t>
      </w:r>
    </w:p>
    <w:p w14:paraId="02797754">
      <w:pPr>
        <w:spacing w:before="120" w:after="120"/>
        <w:rPr>
          <w:sz w:val="28"/>
          <w:szCs w:val="28"/>
        </w:rPr>
      </w:pPr>
      <w:r>
        <w:rPr>
          <w:rFonts w:ascii="黑体" w:hAnsi="黑体" w:eastAsia="黑体" w:cs="黑体"/>
          <w:b/>
          <w:sz w:val="28"/>
          <w:szCs w:val="28"/>
        </w:rPr>
        <w:t>9.3　后续工作计划</w:t>
      </w:r>
    </w:p>
    <w:p w14:paraId="46A554BF">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lang w:val="en-US" w:eastAsia="zh-CN"/>
        </w:rPr>
      </w:pPr>
      <w:r>
        <w:rPr>
          <w:rFonts w:hint="eastAsia" w:ascii="仿宋_GB2312" w:eastAsia="仿宋_GB2312"/>
          <w:color w:val="auto"/>
          <w:sz w:val="32"/>
          <w:lang w:val="en-US" w:eastAsia="zh-CN"/>
        </w:rPr>
        <w:t>（1）标准发布后6个月内，完成首批宣贯培训；</w:t>
      </w:r>
    </w:p>
    <w:p w14:paraId="346FBAED">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lang w:val="en-US" w:eastAsia="zh-CN"/>
        </w:rPr>
      </w:pPr>
      <w:r>
        <w:rPr>
          <w:rFonts w:hint="eastAsia" w:ascii="仿宋_GB2312" w:eastAsia="仿宋_GB2312"/>
          <w:color w:val="auto"/>
          <w:sz w:val="32"/>
          <w:lang w:val="en-US" w:eastAsia="zh-CN"/>
        </w:rPr>
        <w:t>（2）标准实施1年后，启动实施效果评估，根据评估结果适时启动标准修订程序；</w:t>
      </w:r>
    </w:p>
    <w:p w14:paraId="1F1FFDE4">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lang w:val="en-US" w:eastAsia="zh-CN"/>
        </w:rPr>
      </w:pPr>
      <w:r>
        <w:rPr>
          <w:rFonts w:hint="eastAsia" w:ascii="仿宋_GB2312" w:eastAsia="仿宋_GB2312"/>
          <w:color w:val="auto"/>
          <w:sz w:val="32"/>
          <w:lang w:val="en-US" w:eastAsia="zh-CN"/>
        </w:rPr>
        <w:t>（3）积极推动本标准上升为行业标准或国家标准；</w:t>
      </w:r>
    </w:p>
    <w:p w14:paraId="6FEC0C7C">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lang w:val="en-US" w:eastAsia="zh-CN"/>
        </w:rPr>
      </w:pPr>
      <w:r>
        <w:rPr>
          <w:rFonts w:hint="eastAsia" w:ascii="仿宋_GB2312" w:eastAsia="仿宋_GB2312"/>
          <w:color w:val="auto"/>
          <w:sz w:val="32"/>
          <w:lang w:val="en-US" w:eastAsia="zh-CN"/>
        </w:rPr>
        <w:t>（4）建议产品研发生产企业针对标识、包装与说明书等产品环节要求，另行制定配套标准（依据初审会专家意见）。</w:t>
      </w:r>
    </w:p>
    <w:p w14:paraId="222A5089">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lang w:val="en-US" w:eastAsia="zh-CN"/>
        </w:rPr>
      </w:pPr>
      <w:r>
        <w:rPr>
          <w:rFonts w:hint="eastAsia" w:ascii="仿宋_GB2312" w:eastAsia="仿宋_GB2312"/>
          <w:color w:val="auto"/>
          <w:sz w:val="32"/>
          <w:lang w:val="en-US" w:eastAsia="zh-CN"/>
        </w:rPr>
        <w:t>编制说明起草单位：标准起草工作组</w:t>
      </w:r>
    </w:p>
    <w:p w14:paraId="26799483">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right"/>
        <w:textAlignment w:val="auto"/>
        <w:rPr>
          <w:rFonts w:hint="eastAsia" w:ascii="仿宋_GB2312" w:eastAsia="仿宋_GB2312"/>
          <w:color w:val="auto"/>
          <w:sz w:val="32"/>
          <w:lang w:val="en-US" w:eastAsia="zh-CN"/>
        </w:rPr>
      </w:pPr>
      <w:r>
        <w:rPr>
          <w:rFonts w:hint="eastAsia" w:ascii="仿宋_GB2312" w:eastAsia="仿宋_GB2312"/>
          <w:color w:val="auto"/>
          <w:sz w:val="32"/>
          <w:lang w:val="en-US" w:eastAsia="zh-CN"/>
        </w:rPr>
        <w:t>日期：2026年11月</w:t>
      </w:r>
    </w:p>
    <w:p w14:paraId="1F3F3301">
      <w:pPr>
        <w:numPr>
          <w:ilvl w:val="0"/>
          <w:numId w:val="0"/>
        </w:numPr>
        <w:rPr>
          <w:rFonts w:hint="eastAsia" w:ascii="仿宋_GB2312" w:eastAsia="仿宋_GB2312"/>
          <w:color w:val="0000FF"/>
          <w:sz w:val="32"/>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A658AD"/>
    <w:multiLevelType w:val="singleLevel"/>
    <w:tmpl w:val="9DA658AD"/>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rsids>
    <w:rsidRoot w:val="707E5C20"/>
    <w:rsid w:val="023175E9"/>
    <w:rsid w:val="03D7349B"/>
    <w:rsid w:val="080D2DB2"/>
    <w:rsid w:val="0A766D81"/>
    <w:rsid w:val="0A9F3309"/>
    <w:rsid w:val="115C6273"/>
    <w:rsid w:val="11D1474A"/>
    <w:rsid w:val="1366238E"/>
    <w:rsid w:val="13AA1809"/>
    <w:rsid w:val="167504A0"/>
    <w:rsid w:val="19CE2A37"/>
    <w:rsid w:val="19EC507C"/>
    <w:rsid w:val="1ED86FC5"/>
    <w:rsid w:val="1FF72061"/>
    <w:rsid w:val="248024EA"/>
    <w:rsid w:val="2AB021AF"/>
    <w:rsid w:val="30330DD3"/>
    <w:rsid w:val="35E0728C"/>
    <w:rsid w:val="3CBA0719"/>
    <w:rsid w:val="42F71AD2"/>
    <w:rsid w:val="4A716BD1"/>
    <w:rsid w:val="4F840831"/>
    <w:rsid w:val="514F3E5B"/>
    <w:rsid w:val="53B4545D"/>
    <w:rsid w:val="592B21C3"/>
    <w:rsid w:val="5C481799"/>
    <w:rsid w:val="5DAD5125"/>
    <w:rsid w:val="6155027F"/>
    <w:rsid w:val="620F1E56"/>
    <w:rsid w:val="6635067F"/>
    <w:rsid w:val="668A78DC"/>
    <w:rsid w:val="6A5D1F52"/>
    <w:rsid w:val="707E5C20"/>
    <w:rsid w:val="745D327B"/>
    <w:rsid w:val="74DB2652"/>
    <w:rsid w:val="74DB68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Times New Roman" w:hAnsi="Times New Roman"/>
      <w:sz w:val="18"/>
    </w:rPr>
  </w:style>
  <w:style w:type="table" w:styleId="4">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c0eab130-7cd2-42e9-ae6b-b76634418ea3}">
  <ds:schemaRefs/>
</ds:datastoreItem>
</file>

<file path=docProps/app.xml><?xml version="1.0" encoding="utf-8"?>
<Properties xmlns="http://schemas.openxmlformats.org/officeDocument/2006/extended-properties" xmlns:vt="http://schemas.openxmlformats.org/officeDocument/2006/docPropsVTypes">
  <Template>Normal.dotm</Template>
  <Pages>17</Pages>
  <Words>7531</Words>
  <Characters>8050</Characters>
  <Lines>0</Lines>
  <Paragraphs>0</Paragraphs>
  <TotalTime>35</TotalTime>
  <ScaleCrop>false</ScaleCrop>
  <LinksUpToDate>false</LinksUpToDate>
  <CharactersWithSpaces>8152</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2020-06-03T07:17:00Z</dcterms:created>
  <dc:creator>windowns</dc:creator>
  <cp:lastModifiedBy>友情人</cp:lastModifiedBy>
  <dcterms:modified xsi:type="dcterms:W3CDTF">2026-10-08T05:36:18Z</dcterms:modified>
  <dc:title>《XXXX》北京市地方标准编制说明</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eyJoZGlkIjoiYWE1N2Y4MTFmMmQ5NzRmNWQzYmUwZmVjMGI4ZWMwM2IiLCJ1c2VySWQiOiIzNjI1Mjg2NDEifQ==</vt:lpwstr>
  </property>
  <property fmtid="{D5CDD505-2E9C-101B-9397-08002B2CF9AE}" pid="4" name="ICV">
    <vt:lpwstr>BE6C234D60D14B9DB2895E03B477B481_12</vt:lpwstr>
  </property>
</Properties>
</file>