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777316">
      <w:pPr>
        <w:pStyle w:val="129"/>
        <w:framePr w:wrap="around"/>
        <w:rPr>
          <w:rFonts w:hint="default" w:hAnsi="黑体" w:eastAsia="黑体"/>
          <w:lang w:val="en-US" w:eastAsia="zh-CN"/>
        </w:rPr>
      </w:pPr>
      <w:r>
        <w:rPr>
          <w:rFonts w:hAnsi="黑体"/>
        </w:rPr>
        <w:t>ICS</w:t>
      </w:r>
      <w:r>
        <w:rPr>
          <w:rFonts w:hint="eastAsia" w:hAnsi="黑体"/>
        </w:rPr>
        <w:t xml:space="preserve"> </w:t>
      </w:r>
      <w:r>
        <w:rPr>
          <w:rFonts w:hAnsi="黑体"/>
        </w:rPr>
        <w:t> </w:t>
      </w:r>
      <w:r>
        <w:rPr>
          <w:rFonts w:hint="eastAsia" w:hAnsi="黑体"/>
          <w:lang w:val="en-US" w:eastAsia="zh-CN"/>
        </w:rPr>
        <w:t>03.080.99</w:t>
      </w:r>
    </w:p>
    <w:p w14:paraId="229DA71D">
      <w:pPr>
        <w:pStyle w:val="129"/>
        <w:framePr w:wrap="around"/>
        <w:rPr>
          <w:rFonts w:hint="default" w:hAnsi="黑体" w:eastAsia="黑体"/>
          <w:lang w:val="en-US" w:eastAsia="zh-CN"/>
        </w:rPr>
      </w:pPr>
      <w:r>
        <w:rPr>
          <w:rFonts w:hAnsi="黑体"/>
        </w:rPr>
        <w:t xml:space="preserve">CCS </w:t>
      </w:r>
      <w:r>
        <w:rPr>
          <w:rFonts w:hint="eastAsia" w:hAnsi="黑体"/>
          <w:lang w:val="en-US" w:eastAsia="zh-CN"/>
        </w:rPr>
        <w:t>16</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921"/>
      </w:tblGrid>
      <w:tr w14:paraId="23B4F8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28" w:type="dxa"/>
            <w:tcBorders>
              <w:top w:val="nil"/>
              <w:left w:val="nil"/>
              <w:bottom w:val="nil"/>
              <w:right w:val="nil"/>
            </w:tcBorders>
            <w:shd w:val="clear" w:color="auto" w:fill="auto"/>
          </w:tcPr>
          <w:p w14:paraId="3EC972D1">
            <w:pPr>
              <w:pStyle w:val="129"/>
              <w:framePr w:wrap="around"/>
            </w:pPr>
          </w:p>
        </w:tc>
      </w:tr>
    </w:tbl>
    <w:p w14:paraId="4E9299DB">
      <w:pPr>
        <w:pStyle w:val="73"/>
        <w:framePr w:wrap="around"/>
        <w:rPr>
          <w:rFonts w:hint="default" w:hAnsi="黑体" w:eastAsia="黑体"/>
          <w:lang w:val="en-US" w:eastAsia="zh-CN"/>
        </w:rPr>
      </w:pPr>
      <w:bookmarkStart w:id="0" w:name="_Hlk46753871"/>
      <w:r>
        <w:rPr>
          <w:rFonts w:hAnsi="黑体"/>
        </w:rPr>
        <w:t>T/</w:t>
      </w:r>
      <w:r>
        <w:rPr>
          <w:rFonts w:hint="eastAsia" w:hAnsi="黑体"/>
        </w:rPr>
        <w:t>BAS</w:t>
      </w:r>
      <w:r>
        <w:rPr>
          <w:rFonts w:hAnsi="黑体"/>
        </w:rPr>
        <w:t xml:space="preserve"> </w:t>
      </w:r>
      <w:r>
        <w:rPr>
          <w:rFonts w:hint="eastAsia" w:hAnsi="黑体"/>
          <w:lang w:val="en-US" w:eastAsia="zh-CN"/>
        </w:rPr>
        <w:t>XXX</w:t>
      </w:r>
      <w:r>
        <w:rPr>
          <w:rFonts w:hAnsi="黑体"/>
        </w:rPr>
        <w:t>-</w:t>
      </w:r>
      <w:r>
        <w:rPr>
          <w:rFonts w:hint="eastAsia" w:hAnsi="黑体"/>
          <w:lang w:val="en-US" w:eastAsia="zh-CN"/>
        </w:rPr>
        <w:t>XXXX</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130"/>
      </w:tblGrid>
      <w:tr w14:paraId="5D71D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30" w:type="dxa"/>
            <w:tcBorders>
              <w:top w:val="nil"/>
              <w:left w:val="nil"/>
              <w:bottom w:val="nil"/>
              <w:right w:val="nil"/>
            </w:tcBorders>
            <w:shd w:val="clear" w:color="auto" w:fill="auto"/>
          </w:tcPr>
          <w:p w14:paraId="62420AF6">
            <w:pPr>
              <w:pStyle w:val="95"/>
              <w:framePr w:wrap="around"/>
            </w:pPr>
            <w:r>
              <mc:AlternateContent>
                <mc:Choice Requires="wps">
                  <w:drawing>
                    <wp:anchor distT="0" distB="0" distL="114300" distR="114300" simplePos="0" relativeHeight="251663360" behindDoc="1" locked="0" layoutInCell="1" allowOverlap="1">
                      <wp:simplePos x="0" y="0"/>
                      <wp:positionH relativeFrom="column">
                        <wp:posOffset>4665980</wp:posOffset>
                      </wp:positionH>
                      <wp:positionV relativeFrom="paragraph">
                        <wp:posOffset>34290</wp:posOffset>
                      </wp:positionV>
                      <wp:extent cx="1143000" cy="228600"/>
                      <wp:effectExtent l="0" t="0" r="0" b="0"/>
                      <wp:wrapNone/>
                      <wp:docPr id="5" name="DT"/>
                      <wp:cNvGraphicFramePr/>
                      <a:graphic xmlns:a="http://schemas.openxmlformats.org/drawingml/2006/main">
                        <a:graphicData uri="http://schemas.microsoft.com/office/word/2010/wordprocessingShape">
                          <wps:wsp>
                            <wps:cNvSpPr/>
                            <wps:spPr>
                              <a:xfrm>
                                <a:off x="0" y="0"/>
                                <a:ext cx="1143000" cy="228600"/>
                              </a:xfrm>
                              <a:prstGeom prst="rect">
                                <a:avLst/>
                              </a:prstGeom>
                              <a:solidFill>
                                <a:srgbClr val="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DT" o:spid="_x0000_s1026" o:spt="1" style="position:absolute;left:0pt;margin-left:367.4pt;margin-top:2.7pt;height:18pt;width:90pt;z-index:-251653120;v-text-anchor:middle;mso-width-relative:page;mso-height-relative:page;" fillcolor="#FFFFFF" filled="t" stroked="f" coordsize="21600,21600" o:gfxdata="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xZ7k/9MAAAAIAQAADwAAAAAA&#10;AAABACAAAAAiAAAAZHJzL2Rvd25yZXYueG1sUEsBAhQAFAAAAAgAh07iQGWS4spRAgAAvAQAAA4A&#10;AAAAAAAAAQAgAAAAIgEAAGRycy9lMm9Eb2MueG1sUEsFBgAAAAAGAAYAWQEAAOUFAAAAAA==&#10;">
                      <v:fill on="t" focussize="0,0"/>
                      <v:stroke on="f" weight="2pt"/>
                      <v:imagedata o:title=""/>
                      <o:lock v:ext="edit" aspectratio="f"/>
                    </v:rect>
                  </w:pict>
                </mc:Fallback>
              </mc:AlternateContent>
            </w:r>
          </w:p>
        </w:tc>
      </w:tr>
    </w:tbl>
    <w:p w14:paraId="235286F7">
      <w:pPr>
        <w:pStyle w:val="73"/>
        <w:framePr w:wrap="around"/>
        <w:rPr>
          <w:rFonts w:hAnsi="黑体"/>
        </w:rPr>
      </w:pPr>
    </w:p>
    <w:p w14:paraId="40CE7C4D">
      <w:pPr>
        <w:pStyle w:val="73"/>
        <w:framePr w:wrap="around"/>
        <w:rPr>
          <w:rFonts w:hAnsi="黑体"/>
        </w:rPr>
      </w:pPr>
    </w:p>
    <w:bookmarkEnd w:id="0"/>
    <w:p w14:paraId="2E8A7438">
      <w:pPr>
        <w:pStyle w:val="49"/>
        <w:framePr w:wrap="around"/>
        <w:rPr>
          <w:rFonts w:hint="eastAsia"/>
          <w:lang w:val="en-US" w:eastAsia="zh-CN"/>
        </w:rPr>
      </w:pPr>
      <w:r>
        <w:rPr>
          <w:rFonts w:hint="eastAsia"/>
          <w:lang w:val="en-US" w:eastAsia="zh-CN"/>
        </w:rPr>
        <w:t>认知障碍相关乐龄玩具的应用指南</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629"/>
      </w:tblGrid>
      <w:tr w14:paraId="1793D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29" w:type="dxa"/>
            <w:tcBorders>
              <w:top w:val="nil"/>
              <w:left w:val="nil"/>
              <w:bottom w:val="nil"/>
              <w:right w:val="nil"/>
            </w:tcBorders>
            <w:shd w:val="clear" w:color="auto" w:fill="auto"/>
          </w:tcPr>
          <w:p w14:paraId="467DC8A2">
            <w:pPr>
              <w:pStyle w:val="46"/>
              <w:framePr w:wrap="around"/>
            </w:pPr>
            <w:r>
              <w:rPr>
                <w:rFonts w:hint="eastAsia" w:ascii="黑体" w:hAnsi="黑体" w:eastAsia="黑体"/>
              </w:rPr>
              <w:t>A Guide to Using Cognitive-friendly Toys for Seniors</w:t>
            </w:r>
          </w:p>
        </w:tc>
      </w:tr>
      <w:tr w14:paraId="25193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29" w:type="dxa"/>
            <w:tcBorders>
              <w:top w:val="nil"/>
              <w:left w:val="nil"/>
              <w:bottom w:val="nil"/>
              <w:right w:val="nil"/>
            </w:tcBorders>
            <w:shd w:val="clear" w:color="auto" w:fill="auto"/>
          </w:tcPr>
          <w:p w14:paraId="2FB319A9">
            <w:pPr>
              <w:pStyle w:val="97"/>
              <w:framePr w:wrap="around"/>
              <w:jc w:val="center"/>
              <w:rPr>
                <w:rFonts w:hint="default" w:eastAsia="宋体"/>
                <w:lang w:val="en-US" w:eastAsia="zh-CN"/>
              </w:rPr>
            </w:pPr>
            <w:r>
              <w:rPr>
                <w:rFonts w:hint="eastAsia"/>
                <w:lang w:val="en-US" w:eastAsia="zh-CN"/>
              </w:rPr>
              <w:t>（征求意见稿）</w:t>
            </w:r>
          </w:p>
        </w:tc>
      </w:tr>
    </w:tbl>
    <w:p w14:paraId="432BCD7F">
      <w:pPr>
        <w:pStyle w:val="135"/>
        <w:framePr w:wrap="around"/>
      </w:pPr>
      <w:r>
        <w:rPr>
          <w:rFonts w:hint="eastAsia" w:ascii="黑体"/>
          <w:lang w:val="en-US" w:eastAsia="zh-CN"/>
        </w:rPr>
        <w:t>XXXX</w:t>
      </w:r>
      <w:r>
        <w:rPr>
          <w:rFonts w:ascii="黑体"/>
        </w:rPr>
        <w:t>-</w:t>
      </w:r>
      <w:r>
        <w:rPr>
          <w:rFonts w:hint="eastAsia" w:ascii="黑体"/>
          <w:lang w:val="en-US" w:eastAsia="zh-CN"/>
        </w:rPr>
        <w:t>XX</w:t>
      </w:r>
      <w:r>
        <w:rPr>
          <w:rFonts w:ascii="黑体"/>
        </w:rPr>
        <w:t>-</w:t>
      </w:r>
      <w:r>
        <w:rPr>
          <w:rFonts w:hint="eastAsia" w:ascii="黑体"/>
          <w:lang w:val="en-US" w:eastAsia="zh-CN"/>
        </w:rPr>
        <w:t>XX</w:t>
      </w:r>
      <w:r>
        <w:rPr>
          <w:rFonts w:hint="eastAsia"/>
        </w:rPr>
        <w:t>发布</w:t>
      </w:r>
      <w:r>
        <w:rPr>
          <w:rFonts w:hint="eastAsi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2339340</wp:posOffset>
                </wp:positionV>
                <wp:extent cx="6120130" cy="0"/>
                <wp:effectExtent l="0" t="0" r="33655" b="19050"/>
                <wp:wrapNone/>
                <wp:docPr id="2" name="直接连接符 2"/>
                <wp:cNvGraphicFramePr/>
                <a:graphic xmlns:a="http://schemas.openxmlformats.org/drawingml/2006/main">
                  <a:graphicData uri="http://schemas.microsoft.com/office/word/2010/wordprocessingShape">
                    <wps:wsp>
                      <wps:cNvCnPr/>
                      <wps:spPr>
                        <a:xfrm>
                          <a:off x="0" y="0"/>
                          <a:ext cx="6120000" cy="0"/>
                        </a:xfrm>
                        <a:prstGeom prst="line">
                          <a:avLst/>
                        </a:prstGeom>
                        <a:noFill/>
                        <a:ln w="9525" cap="flat" cmpd="sng" algn="ctr">
                          <a:solidFill>
                            <a:srgbClr val="000000"/>
                          </a:solidFill>
                          <a:prstDash val="solid"/>
                        </a:ln>
                        <a:effectLst/>
                      </wps:spPr>
                      <wps:bodyPr/>
                    </wps:wsp>
                  </a:graphicData>
                </a:graphic>
              </wp:anchor>
            </w:drawing>
          </mc:Choice>
          <mc:Fallback>
            <w:pict>
              <v:line id="_x0000_s1026" o:spid="_x0000_s1026" o:spt="20" style="position:absolute;left:0pt;margin-left:0pt;margin-top:184.2pt;height:0pt;width:481.9pt;z-index:251660288;mso-width-relative:page;mso-height-relative:page;" filled="f" stroked="t" coordsize="21600,21600" o:gfxdata="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N3ymz1QAAAAgBAAAPAAAAAAAA&#10;AAEAIAAAACIAAABkcnMvZG93bnJldi54bWxQSwECFAAUAAAACACHTuJARcPzM9wBAACoAwAADgAA&#10;AAAAAAABACAAAAAkAQAAZHJzL2Uyb0RvYy54bWxQSwUGAAAAAAYABgBZAQAAcgUAAAAA&#10;">
                <v:fill on="f" focussize="0,0"/>
                <v:stroke color="#000000" joinstyle="round"/>
                <v:imagedata o:title=""/>
                <o:lock v:ext="edit" aspectratio="f"/>
              </v:line>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8891905</wp:posOffset>
                </wp:positionV>
                <wp:extent cx="6120130" cy="0"/>
                <wp:effectExtent l="0" t="0" r="33655" b="19050"/>
                <wp:wrapNone/>
                <wp:docPr id="1" name="直接连接符 1"/>
                <wp:cNvGraphicFramePr/>
                <a:graphic xmlns:a="http://schemas.openxmlformats.org/drawingml/2006/main">
                  <a:graphicData uri="http://schemas.microsoft.com/office/word/2010/wordprocessingShape">
                    <wps:wsp>
                      <wps:cNvCnPr/>
                      <wps:spPr>
                        <a:xfrm>
                          <a:off x="0" y="0"/>
                          <a:ext cx="6120000" cy="0"/>
                        </a:xfrm>
                        <a:prstGeom prst="line">
                          <a:avLst/>
                        </a:prstGeom>
                        <a:noFill/>
                        <a:ln w="9525" cap="flat" cmpd="sng" algn="ctr">
                          <a:solidFill>
                            <a:srgbClr val="000000"/>
                          </a:solidFill>
                          <a:prstDash val="solid"/>
                        </a:ln>
                        <a:effectLst/>
                      </wps:spPr>
                      <wps:bodyPr/>
                    </wps:wsp>
                  </a:graphicData>
                </a:graphic>
              </wp:anchor>
            </w:drawing>
          </mc:Choice>
          <mc:Fallback>
            <w:pict>
              <v:line id="_x0000_s1026" o:spid="_x0000_s1026" o:spt="20" style="position:absolute;left:0pt;margin-left:0pt;margin-top:700.15pt;height:0pt;width:481.9pt;z-index:251659264;mso-width-relative:page;mso-height-relative:page;" filled="f" stroked="t" coordsize="21600,21600" o:gfxdata="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Dr9Go1QAAAAoBAAAPAAAAAAAA&#10;AAEAIAAAACIAAABkcnMvZG93bnJldi54bWxQSwECFAAUAAAACACHTuJAY1jPcdwBAACoAwAADgAA&#10;AAAAAAABACAAAAAkAQAAZHJzL2Uyb0RvYy54bWxQSwUGAAAAAAYABgBZAQAAcgUAAAAA&#10;">
                <v:fill on="f" focussize="0,0"/>
                <v:stroke color="#000000" joinstyle="round"/>
                <v:imagedata o:title=""/>
                <o:lock v:ext="edit" aspectratio="f"/>
              </v:line>
            </w:pict>
          </mc:Fallback>
        </mc:AlternateContent>
      </w:r>
    </w:p>
    <w:p w14:paraId="713BA38D">
      <w:pPr>
        <w:pStyle w:val="136"/>
        <w:framePr w:wrap="around"/>
      </w:pPr>
      <w:r>
        <w:rPr>
          <w:rFonts w:hint="eastAsia" w:ascii="黑体"/>
          <w:lang w:val="en-US" w:eastAsia="zh-CN"/>
        </w:rPr>
        <w:t>XXXX</w:t>
      </w:r>
      <w:r>
        <w:rPr>
          <w:rFonts w:ascii="黑体"/>
        </w:rPr>
        <w:t>-</w:t>
      </w:r>
      <w:r>
        <w:rPr>
          <w:rFonts w:hint="eastAsia" w:ascii="黑体"/>
          <w:lang w:val="en-US" w:eastAsia="zh-CN"/>
        </w:rPr>
        <w:t>XX</w:t>
      </w:r>
      <w:r>
        <w:rPr>
          <w:rFonts w:ascii="黑体"/>
        </w:rPr>
        <w:t>-</w:t>
      </w:r>
      <w:r>
        <w:rPr>
          <w:rFonts w:hint="eastAsia" w:ascii="黑体"/>
          <w:lang w:val="en-US" w:eastAsia="zh-CN"/>
        </w:rPr>
        <w:t>XX</w:t>
      </w:r>
      <w:r>
        <w:rPr>
          <w:rFonts w:hint="eastAsia"/>
        </w:rPr>
        <w:t>实施</w:t>
      </w:r>
    </w:p>
    <w:p w14:paraId="503F57F8">
      <w:pPr>
        <w:pStyle w:val="119"/>
        <w:framePr w:wrap="around" w:x="2143" w:y="15028"/>
        <w:rPr>
          <w:rStyle w:val="92"/>
          <w:rFonts w:hint="default" w:eastAsia="黑体"/>
          <w:sz w:val="32"/>
          <w:szCs w:val="32"/>
          <w:lang w:val="en-US" w:eastAsia="zh-CN"/>
        </w:rPr>
      </w:pPr>
      <w:bookmarkStart w:id="1" w:name="_Hlk59786002"/>
      <w:r>
        <w:rPr>
          <w:rStyle w:val="92"/>
          <w:sz w:val="32"/>
          <w:szCs w:val="32"/>
        </w:rPr>
        <w:t xml:space="preserve"> </w:t>
      </w:r>
      <w:r>
        <w:rPr>
          <w:rStyle w:val="92"/>
          <w:rFonts w:hint="eastAsia"/>
          <w:sz w:val="32"/>
          <w:szCs w:val="32"/>
        </w:rPr>
        <w:t>北京标准化协会</w:t>
      </w:r>
      <w:r>
        <w:rPr>
          <w:rStyle w:val="92"/>
          <w:rFonts w:hint="eastAsia"/>
          <w:sz w:val="32"/>
          <w:szCs w:val="32"/>
          <w:lang w:val="en-US" w:eastAsia="zh-CN"/>
        </w:rPr>
        <w:t xml:space="preserve"> </w:t>
      </w:r>
      <w:r>
        <w:rPr>
          <w:rStyle w:val="92"/>
          <w:rFonts w:hint="eastAsia"/>
          <w:sz w:val="32"/>
          <w:szCs w:val="32"/>
        </w:rPr>
        <w:t>发布</w:t>
      </w:r>
    </w:p>
    <w:bookmarkEnd w:id="1"/>
    <w:p w14:paraId="6D3032B8">
      <w:pPr>
        <w:pStyle w:val="118"/>
        <w:framePr w:w="6229" w:wrap="around" w:x="3060" w:y="2000"/>
        <w:rPr>
          <w:rFonts w:ascii="Times New Roman" w:hAnsi="Times New Roman"/>
        </w:rPr>
      </w:pPr>
      <w:bookmarkStart w:id="2" w:name="_Hlk46753822"/>
      <w:r>
        <w:rPr>
          <w:sz w:val="72"/>
          <w:szCs w:val="72"/>
        </w:rPr>
        <w:t>团体标</w:t>
      </w:r>
      <w:r>
        <w:rPr>
          <w:rFonts w:ascii="Times New Roman" w:hAnsi="Times New Roman"/>
          <w:sz w:val="72"/>
          <w:szCs w:val="72"/>
        </w:rPr>
        <w:t>准</w:t>
      </w:r>
    </w:p>
    <w:bookmarkEnd w:id="2"/>
    <w:p w14:paraId="554E6C3E">
      <w:pPr>
        <w:pStyle w:val="24"/>
        <w:sectPr>
          <w:headerReference r:id="rId3" w:type="even"/>
          <w:footerReference r:id="rId4" w:type="even"/>
          <w:pgSz w:w="11906" w:h="16838"/>
          <w:pgMar w:top="567" w:right="1558" w:bottom="1134" w:left="1417" w:header="0" w:footer="0" w:gutter="0"/>
          <w:pgNumType w:start="1"/>
          <w:cols w:space="425" w:num="1"/>
          <w:docGrid w:type="lines" w:linePitch="312" w:charSpace="0"/>
        </w:sectPr>
      </w:pPr>
      <w:r>
        <w:rPr>
          <w:rFonts w:hint="eastAsia"/>
        </w:rPr>
        <mc:AlternateContent>
          <mc:Choice Requires="wps">
            <w:drawing>
              <wp:anchor distT="0" distB="0" distL="114300" distR="114300" simplePos="0" relativeHeight="251664384" behindDoc="1" locked="0" layoutInCell="1" allowOverlap="1">
                <wp:simplePos x="0" y="0"/>
                <wp:positionH relativeFrom="column">
                  <wp:posOffset>-66675</wp:posOffset>
                </wp:positionH>
                <wp:positionV relativeFrom="paragraph">
                  <wp:posOffset>396240</wp:posOffset>
                </wp:positionV>
                <wp:extent cx="866775" cy="198120"/>
                <wp:effectExtent l="0" t="0" r="9525" b="0"/>
                <wp:wrapNone/>
                <wp:docPr id="8" name="BAH"/>
                <wp:cNvGraphicFramePr/>
                <a:graphic xmlns:a="http://schemas.openxmlformats.org/drawingml/2006/main">
                  <a:graphicData uri="http://schemas.microsoft.com/office/word/2010/wordprocessingShape">
                    <wps:wsp>
                      <wps:cNvSpPr/>
                      <wps:spPr>
                        <a:xfrm>
                          <a:off x="0" y="0"/>
                          <a:ext cx="866775" cy="198120"/>
                        </a:xfrm>
                        <a:prstGeom prst="rect">
                          <a:avLst/>
                        </a:prstGeom>
                        <a:solidFill>
                          <a:srgbClr val="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BAH" o:spid="_x0000_s1026" o:spt="1" style="position:absolute;left:0pt;margin-left:-5.25pt;margin-top:31.2pt;height:15.6pt;width:68.25pt;z-index:-251652096;v-text-anchor:middle;mso-width-relative:page;mso-height-relative:page;" fillcolor="#FFFFFF" filled="t" stroked="f" coordsize="21600,21600" o:gfxdata="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tabbHNUAAAAJAQAA&#10;DwAAAAAAAAABACAAAAAiAAAAZHJzL2Rvd25yZXYueG1sUEsBAhQAFAAAAAgAh07iQL8IK5ZVAgAA&#10;vAQAAA4AAAAAAAAAAQAgAAAAJAEAAGRycy9lMm9Eb2MueG1sUEsFBgAAAAAGAAYAWQEAAOsFAAAA&#10;AA==&#10;">
                <v:fill on="t" focussize="0,0"/>
                <v:stroke on="f" weight="2pt"/>
                <v:imagedata o:title=""/>
                <o:lock v:ext="edit" aspectratio="f"/>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2339340</wp:posOffset>
                </wp:positionV>
                <wp:extent cx="6120130" cy="0"/>
                <wp:effectExtent l="0" t="0" r="33655" b="19050"/>
                <wp:wrapNone/>
                <wp:docPr id="4" name="直接连接符 4"/>
                <wp:cNvGraphicFramePr/>
                <a:graphic xmlns:a="http://schemas.openxmlformats.org/drawingml/2006/main">
                  <a:graphicData uri="http://schemas.microsoft.com/office/word/2010/wordprocessingShape">
                    <wps:wsp>
                      <wps:cNvCnPr/>
                      <wps:spPr>
                        <a:xfrm>
                          <a:off x="0" y="0"/>
                          <a:ext cx="6120000" cy="0"/>
                        </a:xfrm>
                        <a:prstGeom prst="line">
                          <a:avLst/>
                        </a:prstGeom>
                        <a:noFill/>
                        <a:ln w="9525" cap="flat" cmpd="sng" algn="ctr">
                          <a:solidFill>
                            <a:srgbClr val="000000"/>
                          </a:solidFill>
                          <a:prstDash val="solid"/>
                        </a:ln>
                        <a:effectLst/>
                      </wps:spPr>
                      <wps:bodyPr/>
                    </wps:wsp>
                  </a:graphicData>
                </a:graphic>
              </wp:anchor>
            </w:drawing>
          </mc:Choice>
          <mc:Fallback>
            <w:pict>
              <v:line id="_x0000_s1026" o:spid="_x0000_s1026" o:spt="20" style="position:absolute;left:0pt;margin-left:0pt;margin-top:184.2pt;height:0pt;width:481.9pt;z-index:251662336;mso-width-relative:page;mso-height-relative:page;" filled="f" stroked="t" coordsize="21600,21600" o:gfxdata="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N3ymz1QAAAAgBAAAPAAAAAAAA&#10;AAEAIAAAACIAAABkcnMvZG93bnJldi54bWxQSwECFAAUAAAACACHTuJACfWKt9wBAACoAwAADgAA&#10;AAAAAAABACAAAAAkAQAAZHJzL2Uyb0RvYy54bWxQSwUGAAAAAAYABgBZAQAAcgUAAAAA&#10;">
                <v:fill on="f" focussize="0,0"/>
                <v:stroke color="#000000" joinstyle="round"/>
                <v:imagedata o:title=""/>
                <o:lock v:ext="edit" aspectratio="f"/>
              </v:line>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8891905</wp:posOffset>
                </wp:positionV>
                <wp:extent cx="6120130" cy="0"/>
                <wp:effectExtent l="0" t="0" r="33655" b="19050"/>
                <wp:wrapNone/>
                <wp:docPr id="3" name="直接连接符 3"/>
                <wp:cNvGraphicFramePr/>
                <a:graphic xmlns:a="http://schemas.openxmlformats.org/drawingml/2006/main">
                  <a:graphicData uri="http://schemas.microsoft.com/office/word/2010/wordprocessingShape">
                    <wps:wsp>
                      <wps:cNvCnPr/>
                      <wps:spPr>
                        <a:xfrm>
                          <a:off x="0" y="0"/>
                          <a:ext cx="6120000" cy="0"/>
                        </a:xfrm>
                        <a:prstGeom prst="line">
                          <a:avLst/>
                        </a:prstGeom>
                        <a:noFill/>
                        <a:ln w="9525" cap="flat" cmpd="sng" algn="ctr">
                          <a:solidFill>
                            <a:srgbClr val="000000"/>
                          </a:solidFill>
                          <a:prstDash val="solid"/>
                        </a:ln>
                        <a:effectLst/>
                      </wps:spPr>
                      <wps:bodyPr/>
                    </wps:wsp>
                  </a:graphicData>
                </a:graphic>
              </wp:anchor>
            </w:drawing>
          </mc:Choice>
          <mc:Fallback>
            <w:pict>
              <v:line id="_x0000_s1026" o:spid="_x0000_s1026" o:spt="20" style="position:absolute;left:0pt;margin-left:0pt;margin-top:700.15pt;height:0pt;width:481.9pt;z-index:251661312;mso-width-relative:page;mso-height-relative:page;" filled="f" stroked="t" coordsize="21600,21600" o:gfxdata="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Dr9Go1QAAAAoBAAAPAAAAAAAA&#10;AAEAIAAAACIAAABkcnMvZG93bnJldi54bWxQSwECFAAUAAAACACHTuJAp7XnDdwBAACoAwAADgAA&#10;AAAAAAABACAAAAAkAQAAZHJzL2Uyb0RvYy54bWxQSwUGAAAAAAYABgBZAQAAcgUAAAAA&#10;">
                <v:fill on="f" focussize="0,0"/>
                <v:stroke color="#000000" joinstyle="round"/>
                <v:imagedata o:title=""/>
                <o:lock v:ext="edit" aspectratio="f"/>
              </v:line>
            </w:pict>
          </mc:Fallback>
        </mc:AlternateContent>
      </w:r>
    </w:p>
    <w:p w14:paraId="2BDAE35E">
      <w:pPr>
        <w:pStyle w:val="56"/>
        <w:tabs>
          <w:tab w:val="left" w:pos="726"/>
          <w:tab w:val="center" w:pos="4677"/>
          <w:tab w:val="left" w:pos="8302"/>
          <w:tab w:val="right" w:pos="9354"/>
        </w:tabs>
        <w:jc w:val="left"/>
      </w:pPr>
      <w:bookmarkStart w:id="3" w:name="_Toc59466659"/>
      <w:r>
        <w:tab/>
      </w:r>
      <w:r>
        <w:tab/>
      </w:r>
      <w:r>
        <w:t>前</w:t>
      </w:r>
      <w:r>
        <w:rPr>
          <w:rFonts w:hint="eastAsia"/>
        </w:rPr>
        <w:t xml:space="preserve"> </w:t>
      </w:r>
      <w:r>
        <w:t xml:space="preserve"> 言</w:t>
      </w:r>
      <w:bookmarkEnd w:id="3"/>
      <w:r>
        <w:tab/>
      </w:r>
      <w:r>
        <w:tab/>
      </w:r>
    </w:p>
    <w:p w14:paraId="708F95E5">
      <w:pPr>
        <w:keepNext w:val="0"/>
        <w:keepLines w:val="0"/>
        <w:pageBreakBefore w:val="0"/>
        <w:widowControl/>
        <w:kinsoku/>
        <w:wordWrap/>
        <w:overflowPunct/>
        <w:topLinePunct w:val="0"/>
        <w:autoSpaceDE/>
        <w:autoSpaceDN/>
        <w:bidi w:val="0"/>
        <w:adjustRightInd/>
        <w:snapToGrid/>
        <w:ind w:firstLine="420" w:firstLineChars="200"/>
        <w:jc w:val="left"/>
        <w:textAlignment w:val="auto"/>
        <w:rPr>
          <w:rFonts w:hint="eastAsia"/>
        </w:rPr>
      </w:pPr>
      <w:r>
        <w:rPr>
          <w:rFonts w:hint="eastAsia"/>
        </w:rPr>
        <w:t>本文件按照GB/T 1.1-2020《标准化工作导则　第1部分：标准化文件的结构和起草规则》的规定起草。</w:t>
      </w:r>
    </w:p>
    <w:p w14:paraId="145578A3">
      <w:pPr>
        <w:keepNext w:val="0"/>
        <w:keepLines w:val="0"/>
        <w:pageBreakBefore w:val="0"/>
        <w:widowControl/>
        <w:kinsoku/>
        <w:wordWrap/>
        <w:overflowPunct/>
        <w:topLinePunct w:val="0"/>
        <w:autoSpaceDE/>
        <w:autoSpaceDN/>
        <w:bidi w:val="0"/>
        <w:adjustRightInd/>
        <w:snapToGrid/>
        <w:ind w:firstLine="420" w:firstLineChars="200"/>
        <w:jc w:val="left"/>
        <w:textAlignment w:val="auto"/>
        <w:rPr>
          <w:rFonts w:hint="eastAsia"/>
        </w:rPr>
      </w:pPr>
      <w:r>
        <w:rPr>
          <w:rFonts w:hint="eastAsia"/>
        </w:rPr>
        <w:t>请注意本文件的某些内容可能涉及专利。本文件的发布机构不承担识别专利的责任。</w:t>
      </w:r>
    </w:p>
    <w:p w14:paraId="2FC00C6F">
      <w:pPr>
        <w:keepNext w:val="0"/>
        <w:keepLines w:val="0"/>
        <w:pageBreakBefore w:val="0"/>
        <w:widowControl/>
        <w:kinsoku/>
        <w:wordWrap/>
        <w:overflowPunct/>
        <w:topLinePunct w:val="0"/>
        <w:autoSpaceDE/>
        <w:autoSpaceDN/>
        <w:bidi w:val="0"/>
        <w:adjustRightInd/>
        <w:snapToGrid/>
        <w:ind w:firstLine="420" w:firstLineChars="200"/>
        <w:jc w:val="left"/>
        <w:textAlignment w:val="auto"/>
        <w:rPr>
          <w:rFonts w:hint="eastAsia"/>
        </w:rPr>
      </w:pPr>
      <w:r>
        <w:rPr>
          <w:rFonts w:hint="eastAsia"/>
        </w:rPr>
        <w:t>本文件由北京标准化协会提出并归口。</w:t>
      </w:r>
    </w:p>
    <w:p w14:paraId="1BFB6C97">
      <w:pPr>
        <w:keepNext w:val="0"/>
        <w:keepLines w:val="0"/>
        <w:pageBreakBefore w:val="0"/>
        <w:widowControl/>
        <w:kinsoku/>
        <w:wordWrap/>
        <w:overflowPunct/>
        <w:topLinePunct w:val="0"/>
        <w:autoSpaceDE/>
        <w:autoSpaceDN/>
        <w:bidi w:val="0"/>
        <w:adjustRightInd/>
        <w:snapToGrid/>
        <w:ind w:firstLine="420" w:firstLineChars="200"/>
        <w:jc w:val="left"/>
        <w:textAlignment w:val="auto"/>
        <w:rPr>
          <w:rFonts w:hint="eastAsia"/>
        </w:rPr>
      </w:pPr>
      <w:r>
        <w:rPr>
          <w:rFonts w:hint="eastAsia"/>
        </w:rPr>
        <w:t>本文件起草单位：</w:t>
      </w:r>
    </w:p>
    <w:p w14:paraId="567203D9">
      <w:pPr>
        <w:keepNext w:val="0"/>
        <w:keepLines w:val="0"/>
        <w:pageBreakBefore w:val="0"/>
        <w:widowControl/>
        <w:kinsoku/>
        <w:wordWrap/>
        <w:overflowPunct/>
        <w:topLinePunct w:val="0"/>
        <w:autoSpaceDE/>
        <w:autoSpaceDN/>
        <w:bidi w:val="0"/>
        <w:adjustRightInd/>
        <w:snapToGrid/>
        <w:ind w:firstLine="420" w:firstLineChars="200"/>
        <w:jc w:val="left"/>
        <w:textAlignment w:val="auto"/>
        <w:rPr>
          <w:rFonts w:ascii="黑体" w:eastAsia="黑体"/>
          <w:kern w:val="0"/>
          <w:sz w:val="32"/>
          <w:szCs w:val="20"/>
        </w:rPr>
      </w:pPr>
      <w:r>
        <w:rPr>
          <w:rFonts w:hint="eastAsia"/>
        </w:rPr>
        <w:t>本文件主要起草人：</w:t>
      </w:r>
      <w:bookmarkStart w:id="14" w:name="_GoBack"/>
      <w:bookmarkEnd w:id="14"/>
    </w:p>
    <w:p w14:paraId="48070BF2">
      <w:pPr>
        <w:bidi w:val="0"/>
        <w:rPr>
          <w:rFonts w:ascii="Times New Roman" w:hAnsi="Times New Roman" w:eastAsia="宋体" w:cs="Times New Roman"/>
          <w:kern w:val="2"/>
          <w:sz w:val="21"/>
          <w:szCs w:val="24"/>
          <w:lang w:val="en-US" w:eastAsia="zh-CN" w:bidi="ar-SA"/>
        </w:rPr>
      </w:pPr>
    </w:p>
    <w:p w14:paraId="7A9C41A8">
      <w:pPr>
        <w:bidi w:val="0"/>
        <w:rPr>
          <w:lang w:val="en-US" w:eastAsia="zh-CN"/>
        </w:rPr>
      </w:pPr>
    </w:p>
    <w:p w14:paraId="545C254F">
      <w:pPr>
        <w:bidi w:val="0"/>
        <w:rPr>
          <w:lang w:val="en-US" w:eastAsia="zh-CN"/>
        </w:rPr>
      </w:pPr>
    </w:p>
    <w:p w14:paraId="03CC1AFC">
      <w:pPr>
        <w:bidi w:val="0"/>
        <w:rPr>
          <w:lang w:val="en-US" w:eastAsia="zh-CN"/>
        </w:rPr>
      </w:pPr>
    </w:p>
    <w:p w14:paraId="057F59A1">
      <w:pPr>
        <w:bidi w:val="0"/>
        <w:rPr>
          <w:lang w:val="en-US" w:eastAsia="zh-CN"/>
        </w:rPr>
      </w:pPr>
    </w:p>
    <w:p w14:paraId="4C7C82C4">
      <w:pPr>
        <w:bidi w:val="0"/>
        <w:rPr>
          <w:lang w:val="en-US" w:eastAsia="zh-CN"/>
        </w:rPr>
      </w:pPr>
    </w:p>
    <w:p w14:paraId="37AD97C0">
      <w:pPr>
        <w:bidi w:val="0"/>
        <w:rPr>
          <w:lang w:val="en-US" w:eastAsia="zh-CN"/>
        </w:rPr>
      </w:pPr>
    </w:p>
    <w:p w14:paraId="220E3C15">
      <w:pPr>
        <w:bidi w:val="0"/>
        <w:rPr>
          <w:lang w:val="en-US" w:eastAsia="zh-CN"/>
        </w:rPr>
      </w:pPr>
    </w:p>
    <w:p w14:paraId="0B86CE6B">
      <w:pPr>
        <w:bidi w:val="0"/>
        <w:rPr>
          <w:lang w:val="en-US" w:eastAsia="zh-CN"/>
        </w:rPr>
      </w:pPr>
    </w:p>
    <w:p w14:paraId="4BBF3AAF">
      <w:pPr>
        <w:bidi w:val="0"/>
        <w:rPr>
          <w:lang w:val="en-US" w:eastAsia="zh-CN"/>
        </w:rPr>
      </w:pPr>
    </w:p>
    <w:p w14:paraId="5A29FC82">
      <w:pPr>
        <w:bidi w:val="0"/>
        <w:rPr>
          <w:lang w:val="en-US" w:eastAsia="zh-CN"/>
        </w:rPr>
      </w:pPr>
    </w:p>
    <w:p w14:paraId="3DC20107">
      <w:pPr>
        <w:bidi w:val="0"/>
        <w:rPr>
          <w:lang w:val="en-US" w:eastAsia="zh-CN"/>
        </w:rPr>
      </w:pPr>
    </w:p>
    <w:p w14:paraId="1A1E8404">
      <w:pPr>
        <w:bidi w:val="0"/>
        <w:rPr>
          <w:lang w:val="en-US" w:eastAsia="zh-CN"/>
        </w:rPr>
      </w:pPr>
    </w:p>
    <w:p w14:paraId="70F469F2">
      <w:pPr>
        <w:bidi w:val="0"/>
        <w:rPr>
          <w:lang w:val="en-US" w:eastAsia="zh-CN"/>
        </w:rPr>
      </w:pPr>
    </w:p>
    <w:p w14:paraId="50B13365">
      <w:pPr>
        <w:bidi w:val="0"/>
        <w:rPr>
          <w:lang w:val="en-US" w:eastAsia="zh-CN"/>
        </w:rPr>
      </w:pPr>
    </w:p>
    <w:p w14:paraId="7BFADCA6">
      <w:pPr>
        <w:bidi w:val="0"/>
        <w:rPr>
          <w:lang w:val="en-US" w:eastAsia="zh-CN"/>
        </w:rPr>
      </w:pPr>
    </w:p>
    <w:p w14:paraId="43DEFFC9">
      <w:pPr>
        <w:bidi w:val="0"/>
        <w:rPr>
          <w:lang w:val="en-US" w:eastAsia="zh-CN"/>
        </w:rPr>
      </w:pPr>
    </w:p>
    <w:p w14:paraId="1245C281">
      <w:pPr>
        <w:bidi w:val="0"/>
        <w:rPr>
          <w:lang w:val="en-US" w:eastAsia="zh-CN"/>
        </w:rPr>
      </w:pPr>
    </w:p>
    <w:p w14:paraId="246B2B60">
      <w:pPr>
        <w:bidi w:val="0"/>
        <w:rPr>
          <w:lang w:val="en-US" w:eastAsia="zh-CN"/>
        </w:rPr>
      </w:pPr>
    </w:p>
    <w:p w14:paraId="1550587C">
      <w:pPr>
        <w:bidi w:val="0"/>
        <w:rPr>
          <w:lang w:val="en-US" w:eastAsia="zh-CN"/>
        </w:rPr>
      </w:pPr>
    </w:p>
    <w:p w14:paraId="6F2346AC">
      <w:pPr>
        <w:bidi w:val="0"/>
        <w:rPr>
          <w:lang w:val="en-US" w:eastAsia="zh-CN"/>
        </w:rPr>
      </w:pPr>
    </w:p>
    <w:p w14:paraId="7A02F404">
      <w:pPr>
        <w:bidi w:val="0"/>
        <w:rPr>
          <w:lang w:val="en-US" w:eastAsia="zh-CN"/>
        </w:rPr>
      </w:pPr>
    </w:p>
    <w:p w14:paraId="5628BE9F">
      <w:pPr>
        <w:bidi w:val="0"/>
        <w:rPr>
          <w:lang w:val="en-US" w:eastAsia="zh-CN"/>
        </w:rPr>
      </w:pPr>
    </w:p>
    <w:p w14:paraId="0994FE84">
      <w:pPr>
        <w:bidi w:val="0"/>
        <w:rPr>
          <w:lang w:val="en-US" w:eastAsia="zh-CN"/>
        </w:rPr>
      </w:pPr>
    </w:p>
    <w:p w14:paraId="3598C069">
      <w:pPr>
        <w:bidi w:val="0"/>
        <w:rPr>
          <w:lang w:val="en-US" w:eastAsia="zh-CN"/>
        </w:rPr>
      </w:pPr>
    </w:p>
    <w:p w14:paraId="6A9BE959">
      <w:pPr>
        <w:tabs>
          <w:tab w:val="left" w:pos="712"/>
        </w:tabs>
        <w:bidi w:val="0"/>
        <w:jc w:val="left"/>
        <w:rPr>
          <w:lang w:val="en-US" w:eastAsia="zh-CN"/>
        </w:rPr>
        <w:sectPr>
          <w:headerReference r:id="rId5" w:type="default"/>
          <w:footerReference r:id="rId6" w:type="default"/>
          <w:footerReference r:id="rId7" w:type="even"/>
          <w:pgSz w:w="11906" w:h="16838"/>
          <w:pgMar w:top="567" w:right="1416" w:bottom="1134" w:left="1418" w:header="1418" w:footer="1134" w:gutter="0"/>
          <w:pgNumType w:fmt="upperRoman" w:start="1"/>
          <w:cols w:space="425" w:num="1"/>
          <w:formProt w:val="0"/>
          <w:docGrid w:type="lines" w:linePitch="312" w:charSpace="0"/>
        </w:sectPr>
      </w:pPr>
      <w:r>
        <w:rPr>
          <w:rFonts w:hint="eastAsia"/>
          <w:lang w:val="en-US" w:eastAsia="zh-CN"/>
        </w:rPr>
        <w:tab/>
      </w:r>
    </w:p>
    <w:p w14:paraId="781AF652">
      <w:pPr>
        <w:pStyle w:val="142"/>
      </w:pPr>
      <w:r>
        <w:rPr>
          <w:rFonts w:hint="eastAsia"/>
        </w:rPr>
        <w:t>认知障碍相关乐龄玩具的应用指南</w:t>
      </w:r>
    </w:p>
    <w:p w14:paraId="2B6D5DAB">
      <w:pPr>
        <w:pStyle w:val="51"/>
        <w:spacing w:before="312" w:after="312"/>
      </w:pPr>
      <w:bookmarkStart w:id="4" w:name="_Toc25476"/>
      <w:r>
        <w:t>范围</w:t>
      </w:r>
      <w:bookmarkEnd w:id="4"/>
    </w:p>
    <w:p w14:paraId="6BEEFC24">
      <w:pPr>
        <w:pStyle w:val="24"/>
        <w:rPr>
          <w:rFonts w:hint="eastAsia"/>
        </w:rPr>
      </w:pPr>
      <w:r>
        <w:rPr>
          <w:rFonts w:hint="eastAsia"/>
        </w:rPr>
        <w:t>本文件提供了认知障碍相关乐龄玩具在养老机构、社区照护中心、家庭及康复场景中应用的指导。</w:t>
      </w:r>
    </w:p>
    <w:p w14:paraId="305795E9">
      <w:pPr>
        <w:pStyle w:val="24"/>
        <w:rPr>
          <w:rFonts w:hint="eastAsia"/>
        </w:rPr>
      </w:pPr>
      <w:r>
        <w:rPr>
          <w:rFonts w:hint="eastAsia"/>
        </w:rPr>
        <w:t>本文件给出了认知障碍分期与玩具适配、不同类别玩具的功能与选用方法、智能玩具的特殊考量、典型应用场景的使用要点、安全性与效果评估等方面的指导和建议。</w:t>
      </w:r>
    </w:p>
    <w:p w14:paraId="58C8AD7D">
      <w:pPr>
        <w:pStyle w:val="24"/>
        <w:rPr>
          <w:rFonts w:hint="eastAsia"/>
        </w:rPr>
      </w:pPr>
      <w:r>
        <w:rPr>
          <w:rFonts w:hint="eastAsia"/>
        </w:rPr>
        <w:t>本文件适用于为认知障碍人群（含轻度认知障碍、轻度痴呆、中度痴呆、重度痴呆患者）选择与使用乐龄玩具的养老护理人员、社区照护工作者、家庭照护者、康复指导人员及相关产品研发与运营人员参考使用。</w:t>
      </w:r>
    </w:p>
    <w:p w14:paraId="250D2C39">
      <w:pPr>
        <w:pStyle w:val="24"/>
        <w:rPr>
          <w:rFonts w:hint="eastAsia"/>
        </w:rPr>
      </w:pPr>
      <w:r>
        <w:rPr>
          <w:rFonts w:hint="eastAsia"/>
        </w:rPr>
        <w:t>本文件不适用于以医疗诊治为目的的医疗器械类产品。</w:t>
      </w:r>
    </w:p>
    <w:p w14:paraId="3A1813C8">
      <w:pPr>
        <w:pStyle w:val="51"/>
        <w:spacing w:before="312" w:after="312"/>
      </w:pPr>
      <w:bookmarkStart w:id="5" w:name="_Toc3464"/>
      <w:r>
        <w:t>规范性引用文件</w:t>
      </w:r>
      <w:bookmarkEnd w:id="5"/>
    </w:p>
    <w:p w14:paraId="2094243E">
      <w:pPr>
        <w:pStyle w:val="24"/>
        <w:rPr>
          <w:rFonts w:hint="eastAsia"/>
        </w:rPr>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14CAC89E">
      <w:pPr>
        <w:pStyle w:val="24"/>
        <w:rPr>
          <w:rFonts w:hint="eastAsia"/>
        </w:rPr>
      </w:pPr>
      <w:r>
        <w:rPr>
          <w:rFonts w:hint="eastAsia"/>
        </w:rPr>
        <w:t>GB 6675.1</w:t>
      </w:r>
      <w:r>
        <w:rPr>
          <w:rFonts w:ascii="Segoe UI" w:hAnsi="Segoe UI" w:eastAsia="Segoe UI" w:cs="Segoe UI"/>
          <w:i w:val="0"/>
          <w:iCs w:val="0"/>
          <w:caps w:val="0"/>
          <w:color w:val="3B3B3B"/>
          <w:spacing w:val="0"/>
          <w:sz w:val="19"/>
          <w:szCs w:val="19"/>
          <w:shd w:val="clear" w:fill="FFFFFF"/>
        </w:rPr>
        <w:t>—</w:t>
      </w:r>
      <w:r>
        <w:rPr>
          <w:rFonts w:hint="eastAsia"/>
        </w:rPr>
        <w:t>2025　玩具安全　第1部分：基本规范</w:t>
      </w:r>
    </w:p>
    <w:p w14:paraId="43911198">
      <w:pPr>
        <w:pStyle w:val="24"/>
        <w:rPr>
          <w:rFonts w:hint="eastAsia"/>
        </w:rPr>
      </w:pPr>
      <w:r>
        <w:rPr>
          <w:rFonts w:hint="eastAsia"/>
        </w:rPr>
        <w:t>GB 6675.2</w:t>
      </w:r>
      <w:r>
        <w:rPr>
          <w:rFonts w:ascii="Segoe UI" w:hAnsi="Segoe UI" w:eastAsia="Segoe UI" w:cs="Segoe UI"/>
          <w:i w:val="0"/>
          <w:iCs w:val="0"/>
          <w:caps w:val="0"/>
          <w:color w:val="3B3B3B"/>
          <w:spacing w:val="0"/>
          <w:sz w:val="19"/>
          <w:szCs w:val="19"/>
          <w:shd w:val="clear" w:fill="FFFFFF"/>
        </w:rPr>
        <w:t>—</w:t>
      </w:r>
      <w:r>
        <w:rPr>
          <w:rFonts w:hint="eastAsia"/>
        </w:rPr>
        <w:t>2025　玩具安全　第2部分：机械与物理性能</w:t>
      </w:r>
    </w:p>
    <w:p w14:paraId="587477EF">
      <w:pPr>
        <w:pStyle w:val="24"/>
        <w:rPr>
          <w:rFonts w:hint="eastAsia"/>
        </w:rPr>
      </w:pPr>
      <w:r>
        <w:rPr>
          <w:rFonts w:hint="eastAsia"/>
        </w:rPr>
        <w:t>GB 6675.3</w:t>
      </w:r>
      <w:r>
        <w:rPr>
          <w:rFonts w:ascii="Segoe UI" w:hAnsi="Segoe UI" w:eastAsia="Segoe UI" w:cs="Segoe UI"/>
          <w:i w:val="0"/>
          <w:iCs w:val="0"/>
          <w:caps w:val="0"/>
          <w:color w:val="3B3B3B"/>
          <w:spacing w:val="0"/>
          <w:sz w:val="19"/>
          <w:szCs w:val="19"/>
          <w:shd w:val="clear" w:fill="FFFFFF"/>
        </w:rPr>
        <w:t>—</w:t>
      </w:r>
      <w:r>
        <w:rPr>
          <w:rFonts w:hint="eastAsia"/>
        </w:rPr>
        <w:t>2025　玩具安全　第3部分：易燃性能</w:t>
      </w:r>
    </w:p>
    <w:p w14:paraId="05F7E25B">
      <w:pPr>
        <w:pStyle w:val="24"/>
        <w:rPr>
          <w:rFonts w:hint="eastAsia"/>
        </w:rPr>
      </w:pPr>
      <w:r>
        <w:rPr>
          <w:rFonts w:hint="eastAsia"/>
        </w:rPr>
        <w:t>GB 6675.4</w:t>
      </w:r>
      <w:r>
        <w:rPr>
          <w:rFonts w:ascii="Segoe UI" w:hAnsi="Segoe UI" w:eastAsia="Segoe UI" w:cs="Segoe UI"/>
          <w:i w:val="0"/>
          <w:iCs w:val="0"/>
          <w:caps w:val="0"/>
          <w:color w:val="3B3B3B"/>
          <w:spacing w:val="0"/>
          <w:sz w:val="19"/>
          <w:szCs w:val="19"/>
          <w:shd w:val="clear" w:fill="FFFFFF"/>
        </w:rPr>
        <w:t>—</w:t>
      </w:r>
      <w:r>
        <w:rPr>
          <w:rFonts w:hint="eastAsia"/>
        </w:rPr>
        <w:t>2025　玩具安全　第4部分：特定元素的迁移</w:t>
      </w:r>
    </w:p>
    <w:p w14:paraId="3D3A474F">
      <w:pPr>
        <w:pStyle w:val="51"/>
        <w:spacing w:before="312" w:after="312"/>
      </w:pPr>
      <w:bookmarkStart w:id="6" w:name="_Toc3619"/>
      <w:r>
        <w:t>术语和定义</w:t>
      </w:r>
      <w:bookmarkEnd w:id="6"/>
    </w:p>
    <w:p w14:paraId="52E0AB3D">
      <w:pPr>
        <w:pStyle w:val="24"/>
      </w:pPr>
      <w:r>
        <w:rPr>
          <w:rFonts w:hint="eastAsia"/>
        </w:rPr>
        <w:t>下列术语和定义适用于本</w:t>
      </w:r>
      <w:r>
        <w:rPr>
          <w:rFonts w:hint="eastAsia"/>
          <w:lang w:val="en-US" w:eastAsia="zh-CN"/>
        </w:rPr>
        <w:t>文件</w:t>
      </w:r>
      <w:r>
        <w:rPr>
          <w:rFonts w:hint="eastAsia"/>
        </w:rPr>
        <w:t>。</w:t>
      </w:r>
    </w:p>
    <w:p w14:paraId="53FDD5DF">
      <w:pPr>
        <w:pStyle w:val="50"/>
        <w:keepNext w:val="0"/>
        <w:keepLines w:val="0"/>
        <w:pageBreakBefore w:val="0"/>
        <w:widowControl/>
        <w:kinsoku/>
        <w:wordWrap/>
        <w:overflowPunct/>
        <w:topLinePunct w:val="0"/>
        <w:autoSpaceDE/>
        <w:autoSpaceDN/>
        <w:bidi w:val="0"/>
        <w:adjustRightInd/>
        <w:snapToGrid/>
        <w:spacing w:before="156" w:after="156"/>
        <w:textAlignment w:val="auto"/>
      </w:pPr>
      <w:bookmarkStart w:id="7" w:name="_Toc15052"/>
      <w:bookmarkEnd w:id="7"/>
      <w:r>
        <w:rPr>
          <w:rFonts w:hint="eastAsia"/>
          <w:lang w:val="en-US" w:eastAsia="zh-CN"/>
        </w:rPr>
        <w:t>　</w:t>
      </w:r>
    </w:p>
    <w:p w14:paraId="7A0EC863">
      <w:pPr>
        <w:pStyle w:val="24"/>
        <w:rPr>
          <w:rFonts w:hint="eastAsia" w:ascii="黑体" w:hAnsi="黑体" w:eastAsia="黑体"/>
        </w:rPr>
      </w:pPr>
      <w:r>
        <w:rPr>
          <w:rFonts w:hint="eastAsia" w:ascii="黑体" w:hAnsi="黑体" w:eastAsia="黑体"/>
        </w:rPr>
        <w:t>认知障碍</w:t>
      </w:r>
      <w:r>
        <w:rPr>
          <w:rFonts w:hint="eastAsia" w:ascii="黑体" w:hAnsi="黑体" w:eastAsia="黑体"/>
          <w:lang w:val="en-US" w:eastAsia="zh-CN"/>
        </w:rPr>
        <w:t xml:space="preserve"> </w:t>
      </w:r>
      <w:r>
        <w:rPr>
          <w:rFonts w:hint="eastAsia" w:ascii="黑体" w:hAnsi="黑体" w:eastAsia="黑体"/>
        </w:rPr>
        <w:t>cognitive impairment</w:t>
      </w:r>
    </w:p>
    <w:p w14:paraId="6F501B8E">
      <w:pPr>
        <w:pStyle w:val="24"/>
        <w:rPr>
          <w:rFonts w:hint="eastAsia"/>
        </w:rPr>
      </w:pPr>
      <w:r>
        <w:rPr>
          <w:rFonts w:hint="eastAsia"/>
        </w:rPr>
        <w:t>因神经系统疾病、脑部损伤、衰老或其他原因导致的注意、记忆、语言、学习、执行、视空间能力和社会认知功能等一个或多个认知域功能下降的状态。</w:t>
      </w:r>
    </w:p>
    <w:p w14:paraId="3BCA8936">
      <w:pPr>
        <w:pStyle w:val="50"/>
        <w:keepNext w:val="0"/>
        <w:keepLines w:val="0"/>
        <w:pageBreakBefore w:val="0"/>
        <w:widowControl/>
        <w:kinsoku/>
        <w:wordWrap/>
        <w:overflowPunct/>
        <w:topLinePunct w:val="0"/>
        <w:autoSpaceDE/>
        <w:autoSpaceDN/>
        <w:bidi w:val="0"/>
        <w:adjustRightInd/>
        <w:snapToGrid/>
        <w:spacing w:before="156" w:after="156"/>
        <w:textAlignment w:val="auto"/>
        <w:rPr>
          <w:rFonts w:hint="eastAsia"/>
          <w:lang w:val="en-US" w:eastAsia="zh-CN"/>
        </w:rPr>
      </w:pPr>
    </w:p>
    <w:p w14:paraId="5A9A63E4">
      <w:pPr>
        <w:pStyle w:val="24"/>
        <w:rPr>
          <w:rFonts w:hint="eastAsia" w:ascii="黑体" w:hAnsi="黑体" w:eastAsia="黑体"/>
          <w:lang w:val="en-US" w:eastAsia="zh-CN"/>
        </w:rPr>
      </w:pPr>
      <w:r>
        <w:rPr>
          <w:rFonts w:hint="eastAsia" w:ascii="黑体" w:hAnsi="黑体" w:eastAsia="黑体"/>
          <w:lang w:val="en-US" w:eastAsia="zh-CN"/>
        </w:rPr>
        <w:t>乐龄玩具 age-friendly toy</w:t>
      </w:r>
    </w:p>
    <w:p w14:paraId="21B268AE">
      <w:pPr>
        <w:spacing w:line="240" w:lineRule="auto"/>
        <w:ind w:firstLine="420"/>
        <w:rPr>
          <w:rFonts w:hint="eastAsia" w:ascii="宋体" w:hAnsi="Times New Roman" w:eastAsia="宋体" w:cs="Times New Roman"/>
          <w:kern w:val="0"/>
          <w:sz w:val="21"/>
          <w:szCs w:val="20"/>
          <w:lang w:val="en-US" w:eastAsia="zh-CN" w:bidi="ar-SA"/>
        </w:rPr>
      </w:pPr>
      <w:r>
        <w:rPr>
          <w:rFonts w:hint="eastAsia" w:ascii="宋体" w:hAnsi="Times New Roman" w:eastAsia="宋体" w:cs="Times New Roman"/>
          <w:kern w:val="0"/>
          <w:sz w:val="21"/>
          <w:szCs w:val="20"/>
          <w:lang w:val="en-US" w:eastAsia="zh-CN" w:bidi="ar-SA"/>
        </w:rPr>
        <w:t>设计或明显预定供老年人使用，能够满足其认知训练、运动锻炼、情感陪伴、社交互动等需求，具有适老化特征（如大尺寸部件、高对比度色彩、易抓握结构、简化操作等）的玩具产品。</w:t>
      </w:r>
    </w:p>
    <w:p w14:paraId="4E60E691">
      <w:pPr>
        <w:pStyle w:val="50"/>
        <w:keepNext w:val="0"/>
        <w:keepLines w:val="0"/>
        <w:pageBreakBefore w:val="0"/>
        <w:widowControl/>
        <w:kinsoku/>
        <w:wordWrap/>
        <w:overflowPunct/>
        <w:topLinePunct w:val="0"/>
        <w:autoSpaceDE/>
        <w:autoSpaceDN/>
        <w:bidi w:val="0"/>
        <w:adjustRightInd/>
        <w:snapToGrid/>
        <w:spacing w:before="156" w:after="156"/>
        <w:textAlignment w:val="auto"/>
        <w:rPr>
          <w:rFonts w:hint="eastAsia"/>
          <w:lang w:val="en-US" w:eastAsia="zh-CN"/>
        </w:rPr>
      </w:pPr>
    </w:p>
    <w:p w14:paraId="7047A40C">
      <w:pPr>
        <w:pStyle w:val="24"/>
        <w:rPr>
          <w:rFonts w:hint="eastAsia" w:ascii="黑体" w:hAnsi="黑体" w:eastAsia="黑体"/>
          <w:lang w:val="en-US" w:eastAsia="zh-CN"/>
        </w:rPr>
      </w:pPr>
      <w:r>
        <w:rPr>
          <w:rFonts w:hint="eastAsia" w:ascii="黑体" w:hAnsi="黑体" w:eastAsia="黑体"/>
          <w:lang w:val="en-US" w:eastAsia="zh-CN"/>
        </w:rPr>
        <w:t>代际乐龄玩具 intergenerational age-friendly toy</w:t>
      </w:r>
    </w:p>
    <w:p w14:paraId="2BB64223">
      <w:pPr>
        <w:spacing w:line="240" w:lineRule="auto"/>
        <w:ind w:firstLine="420"/>
        <w:rPr>
          <w:rFonts w:ascii="宋体" w:hAnsi="Times New Roman" w:eastAsia="宋体" w:cs="Times New Roman"/>
          <w:kern w:val="0"/>
          <w:sz w:val="21"/>
          <w:szCs w:val="20"/>
          <w:lang w:val="en-US" w:eastAsia="zh-CN" w:bidi="ar-SA"/>
        </w:rPr>
      </w:pPr>
      <w:r>
        <w:rPr>
          <w:rFonts w:ascii="宋体" w:hAnsi="Times New Roman" w:eastAsia="宋体" w:cs="Times New Roman"/>
          <w:kern w:val="0"/>
          <w:sz w:val="21"/>
          <w:szCs w:val="20"/>
          <w:lang w:val="en-US" w:eastAsia="zh-CN" w:bidi="ar-SA"/>
        </w:rPr>
        <w:t>可供认知障碍老年人与儿童共同开展游戏互动，同时满足乐龄玩具适老化要求与儿童玩具安全要求的玩具产品。</w:t>
      </w:r>
    </w:p>
    <w:p w14:paraId="7AB69F3D">
      <w:pPr>
        <w:pStyle w:val="50"/>
        <w:keepNext w:val="0"/>
        <w:keepLines w:val="0"/>
        <w:pageBreakBefore w:val="0"/>
        <w:widowControl/>
        <w:kinsoku/>
        <w:wordWrap/>
        <w:overflowPunct/>
        <w:topLinePunct w:val="0"/>
        <w:autoSpaceDE/>
        <w:autoSpaceDN/>
        <w:bidi w:val="0"/>
        <w:adjustRightInd/>
        <w:snapToGrid/>
        <w:spacing w:before="156" w:after="156"/>
        <w:textAlignment w:val="auto"/>
      </w:pPr>
    </w:p>
    <w:p w14:paraId="6F081A15">
      <w:pPr>
        <w:pStyle w:val="24"/>
        <w:rPr>
          <w:rFonts w:hint="eastAsia" w:ascii="黑体" w:hAnsi="黑体" w:eastAsia="黑体"/>
        </w:rPr>
      </w:pPr>
      <w:r>
        <w:rPr>
          <w:rFonts w:ascii="黑体" w:hAnsi="黑体" w:eastAsia="黑体"/>
        </w:rPr>
        <w:t>代际共玩活动</w:t>
      </w:r>
      <w:r>
        <w:rPr>
          <w:rFonts w:hint="eastAsia" w:ascii="黑体" w:hAnsi="黑体" w:eastAsia="黑体"/>
          <w:lang w:val="en-US" w:eastAsia="zh-CN"/>
        </w:rPr>
        <w:t xml:space="preserve"> </w:t>
      </w:r>
      <w:r>
        <w:rPr>
          <w:rFonts w:hint="eastAsia" w:ascii="黑体" w:hAnsi="黑体" w:eastAsia="黑体"/>
        </w:rPr>
        <w:t>intergenerational play activities</w:t>
      </w:r>
    </w:p>
    <w:p w14:paraId="6E3C8715">
      <w:pPr>
        <w:spacing w:line="240" w:lineRule="auto"/>
        <w:ind w:firstLine="420"/>
        <w:rPr>
          <w:rFonts w:ascii="宋体" w:hAnsi="Times New Roman" w:eastAsia="宋体" w:cs="Times New Roman"/>
          <w:kern w:val="0"/>
          <w:sz w:val="21"/>
          <w:szCs w:val="20"/>
          <w:lang w:val="en-US" w:eastAsia="zh-CN" w:bidi="ar-SA"/>
        </w:rPr>
      </w:pPr>
      <w:r>
        <w:rPr>
          <w:rFonts w:ascii="宋体" w:hAnsi="Times New Roman" w:eastAsia="宋体" w:cs="Times New Roman"/>
          <w:kern w:val="0"/>
          <w:sz w:val="21"/>
          <w:szCs w:val="20"/>
          <w:lang w:val="en-US" w:eastAsia="zh-CN" w:bidi="ar-SA"/>
        </w:rPr>
        <w:t>认知障碍老年人与儿童在同一时空、同一规则下共同参与的玩具游戏活动。</w:t>
      </w:r>
    </w:p>
    <w:p w14:paraId="68DAAFD9">
      <w:pPr>
        <w:pStyle w:val="50"/>
        <w:keepNext w:val="0"/>
        <w:keepLines w:val="0"/>
        <w:pageBreakBefore w:val="0"/>
        <w:widowControl/>
        <w:kinsoku/>
        <w:wordWrap/>
        <w:overflowPunct/>
        <w:topLinePunct w:val="0"/>
        <w:autoSpaceDE/>
        <w:autoSpaceDN/>
        <w:bidi w:val="0"/>
        <w:adjustRightInd/>
        <w:snapToGrid/>
        <w:spacing w:before="156" w:after="156"/>
        <w:textAlignment w:val="auto"/>
      </w:pPr>
    </w:p>
    <w:p w14:paraId="262E9E56">
      <w:pPr>
        <w:pStyle w:val="24"/>
        <w:rPr>
          <w:rFonts w:ascii="黑体" w:hAnsi="黑体" w:eastAsia="黑体"/>
        </w:rPr>
      </w:pPr>
      <w:r>
        <w:rPr>
          <w:rFonts w:ascii="黑体" w:hAnsi="黑体" w:eastAsia="黑体"/>
        </w:rPr>
        <w:t>认知训练玩具</w:t>
      </w:r>
      <w:r>
        <w:rPr>
          <w:rFonts w:hint="eastAsia" w:ascii="黑体" w:hAnsi="黑体" w:eastAsia="黑体"/>
          <w:lang w:val="en-US" w:eastAsia="zh-CN"/>
        </w:rPr>
        <w:t xml:space="preserve"> </w:t>
      </w:r>
      <w:r>
        <w:rPr>
          <w:rFonts w:ascii="黑体" w:hAnsi="黑体" w:eastAsia="黑体"/>
        </w:rPr>
        <w:t>cognitive training toy</w:t>
      </w:r>
    </w:p>
    <w:p w14:paraId="3943CBD5">
      <w:pPr>
        <w:spacing w:line="240" w:lineRule="auto"/>
        <w:ind w:firstLine="420"/>
        <w:rPr>
          <w:rFonts w:ascii="宋体" w:hAnsi="Times New Roman" w:eastAsia="宋体" w:cs="Times New Roman"/>
          <w:kern w:val="0"/>
          <w:sz w:val="21"/>
          <w:szCs w:val="20"/>
          <w:lang w:val="en-US" w:eastAsia="zh-CN" w:bidi="ar-SA"/>
        </w:rPr>
      </w:pPr>
      <w:r>
        <w:rPr>
          <w:rFonts w:ascii="宋体" w:hAnsi="Times New Roman" w:eastAsia="宋体" w:cs="Times New Roman"/>
          <w:kern w:val="0"/>
          <w:sz w:val="21"/>
          <w:szCs w:val="20"/>
          <w:lang w:val="en-US" w:eastAsia="zh-CN" w:bidi="ar-SA"/>
        </w:rPr>
        <w:t>以刺激大脑认知功能、延缓认知衰退、改善特定认知域能力为目标的乐龄玩具，主要包括针对复合性注意、执行功能、学习和记忆、言语语言、知觉—运动、社会认知等维度的训练类。</w:t>
      </w:r>
    </w:p>
    <w:p w14:paraId="0E37A3E0">
      <w:pPr>
        <w:pStyle w:val="50"/>
        <w:keepNext w:val="0"/>
        <w:keepLines w:val="0"/>
        <w:pageBreakBefore w:val="0"/>
        <w:widowControl/>
        <w:kinsoku/>
        <w:wordWrap/>
        <w:overflowPunct/>
        <w:topLinePunct w:val="0"/>
        <w:autoSpaceDE/>
        <w:autoSpaceDN/>
        <w:bidi w:val="0"/>
        <w:adjustRightInd/>
        <w:snapToGrid/>
        <w:spacing w:before="156" w:after="156"/>
        <w:textAlignment w:val="auto"/>
      </w:pPr>
    </w:p>
    <w:p w14:paraId="36F96399">
      <w:pPr>
        <w:pStyle w:val="24"/>
        <w:rPr>
          <w:rFonts w:ascii="黑体" w:hAnsi="黑体" w:eastAsia="黑体"/>
        </w:rPr>
      </w:pPr>
      <w:r>
        <w:rPr>
          <w:rFonts w:ascii="黑体" w:hAnsi="黑体" w:eastAsia="黑体"/>
        </w:rPr>
        <w:t>智能乐龄玩具</w:t>
      </w:r>
      <w:r>
        <w:rPr>
          <w:rFonts w:hint="eastAsia" w:ascii="黑体" w:hAnsi="黑体" w:eastAsia="黑体"/>
          <w:lang w:val="en-US" w:eastAsia="zh-CN"/>
        </w:rPr>
        <w:t xml:space="preserve"> </w:t>
      </w:r>
      <w:r>
        <w:rPr>
          <w:rFonts w:ascii="黑体" w:hAnsi="黑体" w:eastAsia="黑体"/>
        </w:rPr>
        <w:t>intelligent age-friendly toy</w:t>
      </w:r>
    </w:p>
    <w:p w14:paraId="695665D5">
      <w:pPr>
        <w:spacing w:line="240" w:lineRule="auto"/>
        <w:ind w:firstLine="420"/>
        <w:rPr>
          <w:rFonts w:ascii="宋体" w:hAnsi="Times New Roman" w:eastAsia="宋体" w:cs="Times New Roman"/>
          <w:kern w:val="0"/>
          <w:sz w:val="21"/>
          <w:szCs w:val="20"/>
          <w:lang w:val="en-US" w:eastAsia="zh-CN" w:bidi="ar-SA"/>
        </w:rPr>
      </w:pPr>
      <w:r>
        <w:rPr>
          <w:rFonts w:ascii="宋体" w:hAnsi="Times New Roman" w:eastAsia="宋体" w:cs="Times New Roman"/>
          <w:kern w:val="0"/>
          <w:sz w:val="21"/>
          <w:szCs w:val="20"/>
          <w:lang w:val="en-US" w:eastAsia="zh-CN" w:bidi="ar-SA"/>
        </w:rPr>
        <w:t>融合传感器、语音交互、人工智能、物联网等技术，具备自适应难度调节、个性化内容推送、使用数据采集与分析等功能的乐龄玩具。</w:t>
      </w:r>
    </w:p>
    <w:p w14:paraId="7EE3809E">
      <w:pPr>
        <w:pStyle w:val="50"/>
        <w:keepNext w:val="0"/>
        <w:keepLines w:val="0"/>
        <w:pageBreakBefore w:val="0"/>
        <w:widowControl/>
        <w:kinsoku/>
        <w:wordWrap/>
        <w:overflowPunct/>
        <w:topLinePunct w:val="0"/>
        <w:autoSpaceDE/>
        <w:autoSpaceDN/>
        <w:bidi w:val="0"/>
        <w:adjustRightInd/>
        <w:snapToGrid/>
        <w:spacing w:before="156" w:after="156"/>
        <w:textAlignment w:val="auto"/>
      </w:pPr>
    </w:p>
    <w:p w14:paraId="1B11049C">
      <w:pPr>
        <w:pStyle w:val="24"/>
        <w:rPr>
          <w:rFonts w:hint="eastAsia" w:ascii="黑体" w:hAnsi="黑体" w:eastAsia="黑体"/>
        </w:rPr>
      </w:pPr>
      <w:r>
        <w:rPr>
          <w:rFonts w:ascii="黑体" w:hAnsi="黑体" w:eastAsia="黑体"/>
        </w:rPr>
        <w:t>非药物干预</w:t>
      </w:r>
      <w:r>
        <w:rPr>
          <w:rFonts w:hint="eastAsia" w:ascii="黑体" w:hAnsi="黑体" w:eastAsia="黑体"/>
          <w:lang w:val="en-US" w:eastAsia="zh-CN"/>
        </w:rPr>
        <w:t xml:space="preserve"> </w:t>
      </w:r>
      <w:r>
        <w:rPr>
          <w:rFonts w:hint="eastAsia" w:ascii="黑体" w:hAnsi="黑体" w:eastAsia="黑体"/>
        </w:rPr>
        <w:t>non-pharmacological intervention</w:t>
      </w:r>
    </w:p>
    <w:p w14:paraId="76DEA8E7">
      <w:pPr>
        <w:spacing w:line="240" w:lineRule="auto"/>
        <w:ind w:firstLine="420"/>
        <w:rPr>
          <w:rFonts w:ascii="宋体" w:hAnsi="Times New Roman" w:eastAsia="宋体" w:cs="Times New Roman"/>
          <w:kern w:val="0"/>
          <w:sz w:val="21"/>
          <w:szCs w:val="20"/>
          <w:lang w:val="en-US" w:eastAsia="zh-CN" w:bidi="ar-SA"/>
        </w:rPr>
      </w:pPr>
      <w:r>
        <w:rPr>
          <w:rFonts w:ascii="宋体" w:hAnsi="Times New Roman" w:eastAsia="宋体" w:cs="Times New Roman"/>
          <w:kern w:val="0"/>
          <w:sz w:val="21"/>
          <w:szCs w:val="20"/>
          <w:lang w:val="en-US" w:eastAsia="zh-CN" w:bidi="ar-SA"/>
        </w:rPr>
        <w:t>在药物治疗之外，通过认知训练、音乐疗法、运动疗法、怀旧疗法、游戏疗法等手段改善认知障碍人群的认知功能、精神行为症状和生活质量的方法。</w:t>
      </w:r>
    </w:p>
    <w:p w14:paraId="28165BE4">
      <w:pPr>
        <w:pStyle w:val="50"/>
        <w:keepNext w:val="0"/>
        <w:keepLines w:val="0"/>
        <w:pageBreakBefore w:val="0"/>
        <w:widowControl/>
        <w:kinsoku/>
        <w:wordWrap/>
        <w:overflowPunct/>
        <w:topLinePunct w:val="0"/>
        <w:autoSpaceDE/>
        <w:autoSpaceDN/>
        <w:bidi w:val="0"/>
        <w:adjustRightInd/>
        <w:snapToGrid/>
        <w:spacing w:before="156" w:after="156"/>
        <w:textAlignment w:val="auto"/>
      </w:pPr>
    </w:p>
    <w:p w14:paraId="0AF24FD4">
      <w:pPr>
        <w:pStyle w:val="24"/>
        <w:rPr>
          <w:rFonts w:hint="eastAsia" w:ascii="黑体" w:hAnsi="黑体" w:eastAsia="黑体"/>
        </w:rPr>
      </w:pPr>
      <w:r>
        <w:rPr>
          <w:rFonts w:hint="eastAsia" w:ascii="黑体" w:hAnsi="黑体" w:eastAsia="黑体"/>
        </w:rPr>
        <w:t>照护者</w:t>
      </w:r>
      <w:r>
        <w:rPr>
          <w:rFonts w:hint="eastAsia" w:ascii="黑体" w:hAnsi="黑体" w:eastAsia="黑体"/>
          <w:lang w:val="en-US" w:eastAsia="zh-CN"/>
        </w:rPr>
        <w:t xml:space="preserve"> </w:t>
      </w:r>
      <w:r>
        <w:rPr>
          <w:rFonts w:hint="eastAsia" w:ascii="黑体" w:hAnsi="黑体" w:eastAsia="黑体"/>
        </w:rPr>
        <w:t>caregiver</w:t>
      </w:r>
    </w:p>
    <w:p w14:paraId="0943AD39">
      <w:pPr>
        <w:pStyle w:val="24"/>
      </w:pPr>
      <w:r>
        <w:t>为认知障碍人群提供日常照护、康复辅助和生活支持的人员，包括专业护理人员、家庭照护者及志愿者等。</w:t>
      </w:r>
    </w:p>
    <w:p w14:paraId="2C39D9E4">
      <w:pPr>
        <w:pStyle w:val="50"/>
        <w:keepNext w:val="0"/>
        <w:keepLines w:val="0"/>
        <w:pageBreakBefore w:val="0"/>
        <w:widowControl/>
        <w:kinsoku/>
        <w:wordWrap/>
        <w:overflowPunct/>
        <w:topLinePunct w:val="0"/>
        <w:autoSpaceDE/>
        <w:autoSpaceDN/>
        <w:bidi w:val="0"/>
        <w:adjustRightInd/>
        <w:snapToGrid/>
        <w:spacing w:before="156" w:after="156"/>
        <w:textAlignment w:val="auto"/>
      </w:pPr>
    </w:p>
    <w:p w14:paraId="2B76AEA5">
      <w:pPr>
        <w:pStyle w:val="24"/>
        <w:rPr>
          <w:rFonts w:hint="eastAsia" w:ascii="黑体" w:hAnsi="黑体" w:eastAsia="黑体"/>
        </w:rPr>
      </w:pPr>
      <w:r>
        <w:rPr>
          <w:rFonts w:hint="eastAsia" w:ascii="黑体" w:hAnsi="黑体" w:eastAsia="黑体"/>
        </w:rPr>
        <w:t>分级适配</w:t>
      </w:r>
      <w:r>
        <w:rPr>
          <w:rFonts w:hint="eastAsia" w:ascii="黑体" w:hAnsi="黑体" w:eastAsia="黑体"/>
          <w:lang w:val="en-US" w:eastAsia="zh-CN"/>
        </w:rPr>
        <w:t xml:space="preserve"> </w:t>
      </w:r>
      <w:r>
        <w:rPr>
          <w:rFonts w:hint="eastAsia" w:ascii="黑体" w:hAnsi="黑体" w:eastAsia="黑体"/>
        </w:rPr>
        <w:t>graded adaptation</w:t>
      </w:r>
    </w:p>
    <w:p w14:paraId="59A51D21">
      <w:pPr>
        <w:pStyle w:val="24"/>
      </w:pPr>
      <w:r>
        <w:t>依据认知障碍严重程度分期（轻度认知障碍、轻度痴呆、中度痴呆、重度痴呆）和个体能力差异，为使用者匹配相应难度等级与功能类型的乐龄玩具的方法。</w:t>
      </w:r>
    </w:p>
    <w:p w14:paraId="1F1A2864">
      <w:pPr>
        <w:pStyle w:val="50"/>
        <w:keepNext w:val="0"/>
        <w:keepLines w:val="0"/>
        <w:pageBreakBefore w:val="0"/>
        <w:widowControl/>
        <w:kinsoku/>
        <w:wordWrap/>
        <w:overflowPunct/>
        <w:topLinePunct w:val="0"/>
        <w:autoSpaceDE/>
        <w:autoSpaceDN/>
        <w:bidi w:val="0"/>
        <w:adjustRightInd/>
        <w:snapToGrid/>
        <w:spacing w:before="156" w:after="156"/>
        <w:textAlignment w:val="auto"/>
        <w:rPr>
          <w:rFonts w:hint="eastAsia"/>
        </w:rPr>
      </w:pPr>
    </w:p>
    <w:p w14:paraId="47D4D8F8">
      <w:pPr>
        <w:pStyle w:val="24"/>
        <w:rPr>
          <w:rFonts w:hint="eastAsia" w:ascii="黑体" w:hAnsi="黑体" w:eastAsia="黑体"/>
        </w:rPr>
      </w:pPr>
      <w:r>
        <w:rPr>
          <w:rFonts w:hint="eastAsia" w:ascii="黑体" w:hAnsi="黑体" w:eastAsia="黑体"/>
        </w:rPr>
        <w:t>适老化设计</w:t>
      </w:r>
      <w:r>
        <w:rPr>
          <w:rFonts w:hint="eastAsia" w:ascii="黑体" w:hAnsi="黑体" w:eastAsia="黑体"/>
          <w:lang w:val="en-US" w:eastAsia="zh-CN"/>
        </w:rPr>
        <w:t xml:space="preserve"> </w:t>
      </w:r>
      <w:r>
        <w:rPr>
          <w:rFonts w:hint="eastAsia" w:ascii="黑体" w:hAnsi="黑体" w:eastAsia="黑体"/>
        </w:rPr>
        <w:t>age-friendly design</w:t>
      </w:r>
    </w:p>
    <w:p w14:paraId="36E97C5A">
      <w:pPr>
        <w:pStyle w:val="24"/>
      </w:pPr>
      <w:r>
        <w:t>在产品设计中充分考虑老年人生理、心理及认知特征，通过尺寸放大、操作简化、感官强化、风险防护等手段，使产品更安全、便捷、易用。</w:t>
      </w:r>
    </w:p>
    <w:p w14:paraId="40900208">
      <w:pPr>
        <w:pStyle w:val="51"/>
        <w:spacing w:before="312" w:after="312"/>
        <w:rPr>
          <w:rFonts w:hint="eastAsia"/>
          <w:lang w:val="en-US" w:eastAsia="zh-CN"/>
        </w:rPr>
      </w:pPr>
      <w:r>
        <w:rPr>
          <w:rFonts w:hint="eastAsia"/>
          <w:lang w:val="en-US" w:eastAsia="zh-CN"/>
        </w:rPr>
        <w:t>总体原则</w:t>
      </w:r>
    </w:p>
    <w:p w14:paraId="4C104AE4">
      <w:pPr>
        <w:pStyle w:val="50"/>
        <w:spacing w:before="156" w:after="156"/>
      </w:pPr>
      <w:r>
        <w:t>以人为本原则</w:t>
      </w:r>
    </w:p>
    <w:p w14:paraId="1635F275">
      <w:pPr>
        <w:spacing w:line="240" w:lineRule="auto"/>
        <w:ind w:firstLine="420"/>
        <w:rPr>
          <w:b w:val="0"/>
          <w:bCs/>
          <w:sz w:val="21"/>
          <w:szCs w:val="21"/>
        </w:rPr>
      </w:pPr>
      <w:r>
        <w:rPr>
          <w:rFonts w:ascii="宋体" w:hAnsi="宋体" w:eastAsia="宋体" w:cs="宋体"/>
          <w:b w:val="0"/>
          <w:bCs/>
          <w:sz w:val="21"/>
          <w:szCs w:val="21"/>
        </w:rPr>
        <w:t>乐龄玩具的应用宜以认知障碍人群的尊严、自主性和生活质量为核心，尊重其过往经历、兴趣爱好和个人偏好，避免将儿童化设计强加于成年人。</w:t>
      </w:r>
    </w:p>
    <w:p w14:paraId="7126E219">
      <w:pPr>
        <w:pStyle w:val="50"/>
        <w:spacing w:before="156" w:after="156"/>
      </w:pPr>
      <w:r>
        <w:t>分级适配原则</w:t>
      </w:r>
    </w:p>
    <w:p w14:paraId="68D2DB0A">
      <w:pPr>
        <w:spacing w:line="240" w:lineRule="auto"/>
        <w:ind w:firstLine="420"/>
        <w:rPr>
          <w:b w:val="0"/>
          <w:bCs/>
          <w:sz w:val="21"/>
          <w:szCs w:val="21"/>
        </w:rPr>
      </w:pPr>
      <w:r>
        <w:rPr>
          <w:rFonts w:ascii="宋体" w:hAnsi="宋体" w:eastAsia="宋体" w:cs="宋体"/>
          <w:b w:val="0"/>
          <w:bCs/>
          <w:sz w:val="21"/>
          <w:szCs w:val="21"/>
        </w:rPr>
        <w:t>宜根据认知障碍人群的疾病分期（轻度认知障碍、轻度痴呆、中度痴呆、重度痴呆）和个体能力差异，选择相应难度等级与功能类型的玩具，使挑战性与能力相匹配，避免产生挫败感或无聊感。</w:t>
      </w:r>
    </w:p>
    <w:p w14:paraId="1C41E295">
      <w:pPr>
        <w:pStyle w:val="50"/>
        <w:spacing w:before="156" w:after="156"/>
      </w:pPr>
      <w:r>
        <w:t>安全优先原则</w:t>
      </w:r>
    </w:p>
    <w:p w14:paraId="3B8A95BB">
      <w:pPr>
        <w:spacing w:line="240" w:lineRule="auto"/>
        <w:ind w:firstLine="420"/>
        <w:rPr>
          <w:b w:val="0"/>
          <w:bCs/>
          <w:sz w:val="21"/>
          <w:szCs w:val="21"/>
        </w:rPr>
      </w:pPr>
      <w:r>
        <w:rPr>
          <w:rFonts w:ascii="宋体" w:hAnsi="宋体" w:eastAsia="宋体" w:cs="宋体"/>
          <w:b w:val="0"/>
          <w:bCs/>
          <w:sz w:val="21"/>
          <w:szCs w:val="21"/>
        </w:rPr>
        <w:t>玩具的物理安全、化学安全、电气安全及数据安全宜满足国家相关标准要求，特别考虑认知障碍人群的误食、误用风险和隐私保护需求。</w:t>
      </w:r>
    </w:p>
    <w:p w14:paraId="6C616BB9">
      <w:pPr>
        <w:pStyle w:val="50"/>
        <w:spacing w:before="156" w:after="156"/>
      </w:pPr>
      <w:r>
        <w:t>代际共玩兼容原则</w:t>
      </w:r>
    </w:p>
    <w:p w14:paraId="7B016662">
      <w:pPr>
        <w:spacing w:line="240" w:lineRule="auto"/>
        <w:ind w:firstLine="420"/>
        <w:rPr>
          <w:b w:val="0"/>
          <w:bCs/>
          <w:sz w:val="21"/>
          <w:szCs w:val="21"/>
        </w:rPr>
      </w:pPr>
      <w:r>
        <w:rPr>
          <w:rFonts w:ascii="宋体" w:hAnsi="宋体" w:eastAsia="宋体" w:cs="宋体"/>
          <w:b w:val="0"/>
          <w:bCs/>
          <w:sz w:val="21"/>
          <w:szCs w:val="21"/>
        </w:rPr>
        <w:t>用于老年人与儿童共同使用的代际乐龄玩具，除满足本文件全部适老技术指导外，宜完整满足GB 6675系列玩具安全全部强制性要求，兼顾儿童使用安全。</w:t>
      </w:r>
    </w:p>
    <w:p w14:paraId="2A423165">
      <w:pPr>
        <w:pStyle w:val="50"/>
        <w:spacing w:before="156" w:after="156"/>
      </w:pPr>
      <w:r>
        <w:t>多感官协同原则</w:t>
      </w:r>
    </w:p>
    <w:p w14:paraId="022EF36C">
      <w:pPr>
        <w:spacing w:line="240" w:lineRule="auto"/>
        <w:ind w:firstLine="420"/>
        <w:rPr>
          <w:b w:val="0"/>
          <w:bCs/>
          <w:sz w:val="21"/>
          <w:szCs w:val="21"/>
        </w:rPr>
      </w:pPr>
      <w:r>
        <w:rPr>
          <w:rFonts w:ascii="宋体" w:hAnsi="宋体" w:eastAsia="宋体" w:cs="宋体"/>
          <w:b w:val="0"/>
          <w:bCs/>
          <w:sz w:val="21"/>
          <w:szCs w:val="21"/>
        </w:rPr>
        <w:t>玩具设计宜充分激活视觉、听觉、触觉、本体觉等多种感官通道，通过多感官协同刺激促进大脑神经可塑性，增强干预效果。</w:t>
      </w:r>
    </w:p>
    <w:p w14:paraId="7D05F99B">
      <w:pPr>
        <w:pStyle w:val="50"/>
        <w:spacing w:before="156" w:after="156"/>
      </w:pPr>
      <w:r>
        <w:t>代际互动原则</w:t>
      </w:r>
    </w:p>
    <w:p w14:paraId="6A49C439">
      <w:pPr>
        <w:spacing w:line="240" w:lineRule="auto"/>
        <w:ind w:firstLine="420"/>
        <w:rPr>
          <w:b w:val="0"/>
          <w:bCs/>
          <w:sz w:val="21"/>
          <w:szCs w:val="21"/>
        </w:rPr>
      </w:pPr>
      <w:r>
        <w:rPr>
          <w:rFonts w:ascii="宋体" w:hAnsi="宋体" w:eastAsia="宋体" w:cs="宋体"/>
          <w:b w:val="0"/>
          <w:bCs/>
          <w:sz w:val="21"/>
          <w:szCs w:val="21"/>
        </w:rPr>
        <w:t>玩具应用宜促进认知障碍人群与儿童或他人的互动交流，通过代际共玩增进理解与陪伴，提升幸福感、社会参与感和归属感。</w:t>
      </w:r>
    </w:p>
    <w:p w14:paraId="6E2566E7">
      <w:pPr>
        <w:pStyle w:val="50"/>
        <w:spacing w:before="156" w:after="156"/>
      </w:pPr>
      <w:r>
        <w:t>难度适应性原则</w:t>
      </w:r>
    </w:p>
    <w:p w14:paraId="6B4E2B94">
      <w:pPr>
        <w:spacing w:line="240" w:lineRule="auto"/>
        <w:ind w:firstLine="420"/>
        <w:rPr>
          <w:b w:val="0"/>
          <w:bCs/>
          <w:sz w:val="21"/>
          <w:szCs w:val="21"/>
        </w:rPr>
      </w:pPr>
      <w:r>
        <w:rPr>
          <w:rFonts w:ascii="宋体" w:hAnsi="宋体" w:eastAsia="宋体" w:cs="宋体"/>
          <w:b w:val="0"/>
          <w:bCs/>
          <w:sz w:val="21"/>
          <w:szCs w:val="21"/>
        </w:rPr>
        <w:t>智能玩具宜具备难度自适应调节功能，可根据使用者的实时表现动态调整任务难度和复杂度。</w:t>
      </w:r>
    </w:p>
    <w:p w14:paraId="63A659A0">
      <w:pPr>
        <w:pStyle w:val="50"/>
        <w:spacing w:before="156" w:after="156"/>
      </w:pPr>
      <w:r>
        <w:t>数据驱动调节原则</w:t>
      </w:r>
    </w:p>
    <w:p w14:paraId="0171BAD3">
      <w:pPr>
        <w:spacing w:line="240" w:lineRule="auto"/>
        <w:ind w:firstLine="420"/>
        <w:rPr>
          <w:b w:val="0"/>
          <w:bCs/>
          <w:sz w:val="21"/>
          <w:szCs w:val="21"/>
        </w:rPr>
      </w:pPr>
      <w:r>
        <w:rPr>
          <w:rFonts w:ascii="宋体" w:hAnsi="宋体" w:eastAsia="宋体" w:cs="宋体"/>
          <w:b w:val="0"/>
          <w:bCs/>
          <w:sz w:val="21"/>
          <w:szCs w:val="21"/>
        </w:rPr>
        <w:t>智能玩具宜记录使用数据（使用频率、完成度、反应时间、情绪反馈等），为照护者提供可量化的认知状态参考，支持个性化干预方案。</w:t>
      </w:r>
    </w:p>
    <w:p w14:paraId="0E4C3180">
      <w:pPr>
        <w:pStyle w:val="51"/>
        <w:spacing w:before="312" w:after="312"/>
      </w:pPr>
      <w:r>
        <w:t>认知障碍分期与玩具适配</w:t>
      </w:r>
    </w:p>
    <w:p w14:paraId="66DFADD8">
      <w:pPr>
        <w:pStyle w:val="50"/>
        <w:numPr>
          <w:ilvl w:val="1"/>
          <w:numId w:val="0"/>
        </w:numPr>
        <w:bidi w:val="0"/>
        <w:ind w:leftChars="0"/>
      </w:pPr>
      <w:r>
        <w:t>5.1　分期概述</w:t>
      </w:r>
    </w:p>
    <w:p w14:paraId="39B21F54">
      <w:pPr>
        <w:spacing w:line="240" w:lineRule="auto"/>
        <w:ind w:firstLine="420"/>
        <w:rPr>
          <w:b w:val="0"/>
          <w:bCs/>
          <w:sz w:val="21"/>
          <w:szCs w:val="21"/>
        </w:rPr>
      </w:pPr>
      <w:r>
        <w:rPr>
          <w:rFonts w:ascii="宋体" w:hAnsi="宋体" w:eastAsia="宋体" w:cs="宋体"/>
          <w:b w:val="0"/>
          <w:bCs/>
          <w:sz w:val="21"/>
          <w:szCs w:val="21"/>
        </w:rPr>
        <w:t>认知障碍依据严重程度不同可分为以下四期：</w:t>
      </w:r>
    </w:p>
    <w:p w14:paraId="6FEE9915">
      <w:pPr>
        <w:spacing w:line="240" w:lineRule="auto"/>
        <w:ind w:firstLine="420"/>
        <w:rPr>
          <w:b w:val="0"/>
          <w:bCs/>
          <w:sz w:val="21"/>
          <w:szCs w:val="21"/>
        </w:rPr>
      </w:pPr>
      <w:r>
        <w:rPr>
          <w:rFonts w:ascii="宋体" w:hAnsi="宋体" w:eastAsia="宋体" w:cs="宋体"/>
          <w:b w:val="0"/>
          <w:bCs/>
          <w:sz w:val="21"/>
          <w:szCs w:val="21"/>
        </w:rPr>
        <w:t>a）轻度认知障碍期（MCI）：记忆、注意、执行功能出现客观损害但日常生活能力基本正常；</w:t>
      </w:r>
    </w:p>
    <w:p w14:paraId="3B49A38B">
      <w:pPr>
        <w:spacing w:line="240" w:lineRule="auto"/>
        <w:ind w:firstLine="420"/>
        <w:rPr>
          <w:b w:val="0"/>
          <w:bCs/>
          <w:sz w:val="21"/>
          <w:szCs w:val="21"/>
        </w:rPr>
      </w:pPr>
      <w:r>
        <w:rPr>
          <w:rFonts w:ascii="宋体" w:hAnsi="宋体" w:eastAsia="宋体" w:cs="宋体"/>
          <w:b w:val="0"/>
          <w:bCs/>
          <w:sz w:val="21"/>
          <w:szCs w:val="21"/>
        </w:rPr>
        <w:t>b）轻度痴呆期：认知损害明显加重，日常生活能力轻度受损；</w:t>
      </w:r>
    </w:p>
    <w:p w14:paraId="162CFD89">
      <w:pPr>
        <w:spacing w:line="240" w:lineRule="auto"/>
        <w:ind w:firstLine="420"/>
        <w:rPr>
          <w:b w:val="0"/>
          <w:bCs/>
          <w:sz w:val="21"/>
          <w:szCs w:val="21"/>
        </w:rPr>
      </w:pPr>
      <w:r>
        <w:rPr>
          <w:rFonts w:ascii="宋体" w:hAnsi="宋体" w:eastAsia="宋体" w:cs="宋体"/>
          <w:b w:val="0"/>
          <w:bCs/>
          <w:sz w:val="21"/>
          <w:szCs w:val="21"/>
        </w:rPr>
        <w:t>c）中度痴呆期：认知损害进一步加重，日常生活能力中度受损；</w:t>
      </w:r>
    </w:p>
    <w:p w14:paraId="3FB3CB65">
      <w:pPr>
        <w:spacing w:line="240" w:lineRule="auto"/>
        <w:ind w:firstLine="420"/>
        <w:rPr>
          <w:b w:val="0"/>
          <w:bCs/>
          <w:sz w:val="21"/>
          <w:szCs w:val="21"/>
        </w:rPr>
      </w:pPr>
      <w:r>
        <w:rPr>
          <w:rFonts w:ascii="宋体" w:hAnsi="宋体" w:eastAsia="宋体" w:cs="宋体"/>
          <w:b w:val="0"/>
          <w:bCs/>
          <w:sz w:val="21"/>
          <w:szCs w:val="21"/>
        </w:rPr>
        <w:t>d）重度痴呆期：认知功能严重衰退，日常生活能力完全丧失。</w:t>
      </w:r>
    </w:p>
    <w:p w14:paraId="77E02157">
      <w:pPr>
        <w:spacing w:line="240" w:lineRule="auto"/>
        <w:ind w:firstLine="420"/>
        <w:rPr>
          <w:b w:val="0"/>
          <w:bCs/>
          <w:sz w:val="21"/>
          <w:szCs w:val="21"/>
        </w:rPr>
      </w:pPr>
      <w:r>
        <w:rPr>
          <w:rFonts w:ascii="宋体" w:hAnsi="宋体" w:eastAsia="宋体" w:cs="宋体"/>
          <w:b w:val="0"/>
          <w:bCs/>
          <w:sz w:val="21"/>
          <w:szCs w:val="21"/>
        </w:rPr>
        <w:t>各期的具体评估工具、量化标准及评估实施细节参见附录A。</w:t>
      </w:r>
    </w:p>
    <w:p w14:paraId="625053EB">
      <w:pPr>
        <w:pStyle w:val="50"/>
        <w:numPr>
          <w:ilvl w:val="1"/>
          <w:numId w:val="0"/>
        </w:numPr>
        <w:bidi w:val="0"/>
        <w:ind w:leftChars="0"/>
      </w:pPr>
      <w:r>
        <w:t>5.2　认知障碍各期玩具适配指导</w:t>
      </w:r>
    </w:p>
    <w:p w14:paraId="29A03834">
      <w:pPr>
        <w:rPr>
          <w:b w:val="0"/>
          <w:bCs/>
          <w:sz w:val="21"/>
          <w:szCs w:val="21"/>
        </w:rPr>
      </w:pPr>
      <w:r>
        <w:rPr>
          <w:rFonts w:ascii="黑体" w:hAnsi="黑体" w:eastAsia="黑体" w:cs="黑体"/>
          <w:b w:val="0"/>
          <w:bCs/>
          <w:sz w:val="21"/>
          <w:szCs w:val="21"/>
        </w:rPr>
        <w:t>5.2.1　轻度认知障碍期（MCI）玩具适配</w:t>
      </w:r>
    </w:p>
    <w:p w14:paraId="2B0D6822">
      <w:pPr>
        <w:spacing w:line="240" w:lineRule="auto"/>
        <w:ind w:firstLine="420"/>
        <w:rPr>
          <w:b w:val="0"/>
          <w:bCs/>
          <w:sz w:val="21"/>
          <w:szCs w:val="21"/>
        </w:rPr>
      </w:pPr>
      <w:r>
        <w:rPr>
          <w:rFonts w:ascii="宋体" w:hAnsi="宋体" w:eastAsia="宋体" w:cs="宋体"/>
          <w:b w:val="0"/>
          <w:bCs/>
          <w:sz w:val="21"/>
          <w:szCs w:val="21"/>
        </w:rPr>
        <w:t>轻度认知障碍期患者表现为近事记忆减退、执行功能下降，但日常生活基本自理。该期玩具适配宜考虑以下方面：</w:t>
      </w:r>
    </w:p>
    <w:p w14:paraId="423BAE80">
      <w:pPr>
        <w:spacing w:line="240" w:lineRule="auto"/>
        <w:ind w:firstLine="420"/>
        <w:rPr>
          <w:b w:val="0"/>
          <w:bCs/>
          <w:sz w:val="21"/>
          <w:szCs w:val="21"/>
        </w:rPr>
      </w:pPr>
      <w:r>
        <w:rPr>
          <w:rFonts w:ascii="宋体" w:hAnsi="宋体" w:eastAsia="宋体" w:cs="宋体"/>
          <w:b w:val="0"/>
          <w:bCs/>
          <w:sz w:val="21"/>
          <w:szCs w:val="21"/>
        </w:rPr>
        <w:t>a）以认知训练类玩具为主，重点训练记忆、注意力和执行功能；</w:t>
      </w:r>
    </w:p>
    <w:p w14:paraId="65623FB9">
      <w:pPr>
        <w:spacing w:line="240" w:lineRule="auto"/>
        <w:ind w:firstLine="420"/>
        <w:rPr>
          <w:b w:val="0"/>
          <w:bCs/>
          <w:sz w:val="21"/>
          <w:szCs w:val="21"/>
        </w:rPr>
      </w:pPr>
      <w:r>
        <w:rPr>
          <w:rFonts w:ascii="宋体" w:hAnsi="宋体" w:eastAsia="宋体" w:cs="宋体"/>
          <w:b w:val="0"/>
          <w:bCs/>
          <w:sz w:val="21"/>
          <w:szCs w:val="21"/>
        </w:rPr>
        <w:t>b）难度等级宜为中高级，规则可适度复杂，支持策略性思考；</w:t>
      </w:r>
    </w:p>
    <w:p w14:paraId="01BD05EC">
      <w:pPr>
        <w:spacing w:line="240" w:lineRule="auto"/>
        <w:ind w:firstLine="420"/>
        <w:rPr>
          <w:b w:val="0"/>
          <w:bCs/>
          <w:sz w:val="21"/>
          <w:szCs w:val="21"/>
        </w:rPr>
      </w:pPr>
      <w:r>
        <w:rPr>
          <w:rFonts w:ascii="宋体" w:hAnsi="宋体" w:eastAsia="宋体" w:cs="宋体"/>
          <w:b w:val="0"/>
          <w:bCs/>
          <w:sz w:val="21"/>
          <w:szCs w:val="21"/>
        </w:rPr>
        <w:t>c）玩具类型可选择策略棋类、数字华容道、多步骤拼图（48—100片）、记忆翻牌、逻辑推演游戏等；</w:t>
      </w:r>
    </w:p>
    <w:p w14:paraId="39B984C4">
      <w:pPr>
        <w:spacing w:line="240" w:lineRule="auto"/>
        <w:ind w:firstLine="420"/>
        <w:rPr>
          <w:b w:val="0"/>
          <w:bCs/>
          <w:sz w:val="21"/>
          <w:szCs w:val="21"/>
        </w:rPr>
      </w:pPr>
      <w:r>
        <w:rPr>
          <w:rFonts w:ascii="宋体" w:hAnsi="宋体" w:eastAsia="宋体" w:cs="宋体"/>
          <w:b w:val="0"/>
          <w:bCs/>
          <w:sz w:val="21"/>
          <w:szCs w:val="21"/>
        </w:rPr>
        <w:t>d）智能玩具宜提供数据记录功能，追踪认知变化趋势；</w:t>
      </w:r>
    </w:p>
    <w:p w14:paraId="27D94A20">
      <w:pPr>
        <w:spacing w:line="240" w:lineRule="auto"/>
        <w:ind w:firstLine="420"/>
        <w:rPr>
          <w:b w:val="0"/>
          <w:bCs/>
          <w:sz w:val="21"/>
          <w:szCs w:val="21"/>
        </w:rPr>
      </w:pPr>
      <w:r>
        <w:rPr>
          <w:rFonts w:ascii="宋体" w:hAnsi="宋体" w:eastAsia="宋体" w:cs="宋体"/>
          <w:b w:val="0"/>
          <w:bCs/>
          <w:sz w:val="21"/>
          <w:szCs w:val="21"/>
        </w:rPr>
        <w:t>e）鼓励社交竞技类游戏，以维持社会参与度和自尊心；</w:t>
      </w:r>
    </w:p>
    <w:p w14:paraId="337A5B9F">
      <w:pPr>
        <w:spacing w:line="240" w:lineRule="auto"/>
        <w:ind w:firstLine="420"/>
        <w:rPr>
          <w:b w:val="0"/>
          <w:bCs/>
          <w:sz w:val="21"/>
          <w:szCs w:val="21"/>
        </w:rPr>
      </w:pPr>
      <w:r>
        <w:rPr>
          <w:rFonts w:ascii="宋体" w:hAnsi="宋体" w:eastAsia="宋体" w:cs="宋体"/>
          <w:b w:val="0"/>
          <w:bCs/>
          <w:sz w:val="21"/>
          <w:szCs w:val="21"/>
        </w:rPr>
        <w:t>f）代际共玩时可由儿童作为游戏伙伴参与策略对弈或协作解谜，激发患者思维灵活性，同时使其在</w:t>
      </w:r>
      <w:r>
        <w:rPr>
          <w:rFonts w:hint="eastAsia" w:cs="宋体"/>
          <w:b w:val="0"/>
          <w:bCs/>
          <w:sz w:val="21"/>
          <w:szCs w:val="21"/>
          <w:lang w:eastAsia="zh-CN"/>
        </w:rPr>
        <w:t>“</w:t>
      </w:r>
      <w:r>
        <w:rPr>
          <w:rFonts w:ascii="宋体" w:hAnsi="宋体" w:eastAsia="宋体" w:cs="宋体"/>
          <w:b w:val="0"/>
          <w:bCs/>
          <w:sz w:val="21"/>
          <w:szCs w:val="21"/>
        </w:rPr>
        <w:t>指导者</w:t>
      </w:r>
      <w:r>
        <w:rPr>
          <w:rFonts w:hint="eastAsia" w:cs="宋体"/>
          <w:b w:val="0"/>
          <w:bCs/>
          <w:sz w:val="21"/>
          <w:szCs w:val="21"/>
          <w:lang w:eastAsia="zh-CN"/>
        </w:rPr>
        <w:t>”</w:t>
      </w:r>
      <w:r>
        <w:rPr>
          <w:rFonts w:ascii="宋体" w:hAnsi="宋体" w:eastAsia="宋体" w:cs="宋体"/>
          <w:b w:val="0"/>
          <w:bCs/>
          <w:sz w:val="21"/>
          <w:szCs w:val="21"/>
        </w:rPr>
        <w:t>角色中获得价值感与成就感；</w:t>
      </w:r>
    </w:p>
    <w:p w14:paraId="4F1B60CF">
      <w:pPr>
        <w:spacing w:line="240" w:lineRule="auto"/>
        <w:ind w:firstLine="420"/>
        <w:rPr>
          <w:b w:val="0"/>
          <w:bCs/>
          <w:sz w:val="21"/>
          <w:szCs w:val="21"/>
        </w:rPr>
      </w:pPr>
      <w:r>
        <w:rPr>
          <w:rFonts w:ascii="宋体" w:hAnsi="宋体" w:eastAsia="宋体" w:cs="宋体"/>
          <w:b w:val="0"/>
          <w:bCs/>
          <w:sz w:val="21"/>
          <w:szCs w:val="21"/>
        </w:rPr>
        <w:t>g）代际共玩玩具宜选用规则简明、儿童能快速上手的代际乐龄玩具，便于祖孙同乐，促进跨代沟通与情感联结。</w:t>
      </w:r>
    </w:p>
    <w:p w14:paraId="147FC3CF">
      <w:pPr>
        <w:rPr>
          <w:b w:val="0"/>
          <w:bCs/>
          <w:sz w:val="21"/>
          <w:szCs w:val="21"/>
        </w:rPr>
      </w:pPr>
      <w:r>
        <w:rPr>
          <w:rFonts w:ascii="黑体" w:hAnsi="黑体" w:eastAsia="黑体" w:cs="黑体"/>
          <w:b w:val="0"/>
          <w:bCs/>
          <w:sz w:val="21"/>
          <w:szCs w:val="21"/>
        </w:rPr>
        <w:t>5.2.2　轻度痴呆期玩具适配</w:t>
      </w:r>
    </w:p>
    <w:p w14:paraId="53636A22">
      <w:pPr>
        <w:spacing w:line="240" w:lineRule="auto"/>
        <w:ind w:firstLine="420"/>
        <w:rPr>
          <w:b w:val="0"/>
          <w:bCs/>
          <w:sz w:val="21"/>
          <w:szCs w:val="21"/>
        </w:rPr>
      </w:pPr>
      <w:r>
        <w:rPr>
          <w:rFonts w:ascii="宋体" w:hAnsi="宋体" w:eastAsia="宋体" w:cs="宋体"/>
          <w:b w:val="0"/>
          <w:bCs/>
          <w:sz w:val="21"/>
          <w:szCs w:val="21"/>
        </w:rPr>
        <w:t>轻度痴呆期患者出现明显的记忆缺损和执行功能下降，日常生活能力轻度受损。该期玩具适配宜考虑以下方面：</w:t>
      </w:r>
    </w:p>
    <w:p w14:paraId="207E6CD5">
      <w:pPr>
        <w:spacing w:line="240" w:lineRule="auto"/>
        <w:ind w:firstLine="420"/>
        <w:rPr>
          <w:b w:val="0"/>
          <w:bCs/>
          <w:sz w:val="21"/>
          <w:szCs w:val="21"/>
        </w:rPr>
      </w:pPr>
      <w:r>
        <w:rPr>
          <w:rFonts w:ascii="宋体" w:hAnsi="宋体" w:eastAsia="宋体" w:cs="宋体"/>
          <w:b w:val="0"/>
          <w:bCs/>
          <w:sz w:val="21"/>
          <w:szCs w:val="21"/>
        </w:rPr>
        <w:t>a）以简化认知训练类和轻度感官刺激类玩具为主，兼顾记忆维持与情绪愉悦；</w:t>
      </w:r>
    </w:p>
    <w:p w14:paraId="236AD0E6">
      <w:pPr>
        <w:spacing w:line="240" w:lineRule="auto"/>
        <w:ind w:firstLine="420"/>
        <w:rPr>
          <w:b w:val="0"/>
          <w:bCs/>
          <w:sz w:val="21"/>
          <w:szCs w:val="21"/>
        </w:rPr>
      </w:pPr>
      <w:r>
        <w:rPr>
          <w:rFonts w:ascii="宋体" w:hAnsi="宋体" w:eastAsia="宋体" w:cs="宋体"/>
          <w:b w:val="0"/>
          <w:bCs/>
          <w:sz w:val="21"/>
          <w:szCs w:val="21"/>
        </w:rPr>
        <w:t>b）难度等级宜为中级，规则应清晰但可适当保留策略性，操作步骤控制在5—8步以内；</w:t>
      </w:r>
    </w:p>
    <w:p w14:paraId="2F490128">
      <w:pPr>
        <w:spacing w:line="240" w:lineRule="auto"/>
        <w:ind w:firstLine="420"/>
        <w:rPr>
          <w:b w:val="0"/>
          <w:bCs/>
          <w:sz w:val="21"/>
          <w:szCs w:val="21"/>
        </w:rPr>
      </w:pPr>
      <w:r>
        <w:rPr>
          <w:rFonts w:ascii="宋体" w:hAnsi="宋体" w:eastAsia="宋体" w:cs="宋体"/>
          <w:b w:val="0"/>
          <w:bCs/>
          <w:sz w:val="21"/>
          <w:szCs w:val="21"/>
        </w:rPr>
        <w:t>c）玩具类型可选择中等难度拼图（24—48片）、简易策略棋类、数字/字母配对卡、简易记忆翻牌（8—16对）、节奏打击乐器等；</w:t>
      </w:r>
    </w:p>
    <w:p w14:paraId="1BEA8288">
      <w:pPr>
        <w:spacing w:line="240" w:lineRule="auto"/>
        <w:ind w:firstLine="420"/>
        <w:rPr>
          <w:b w:val="0"/>
          <w:bCs/>
          <w:sz w:val="21"/>
          <w:szCs w:val="21"/>
        </w:rPr>
      </w:pPr>
      <w:r>
        <w:rPr>
          <w:rFonts w:ascii="宋体" w:hAnsi="宋体" w:eastAsia="宋体" w:cs="宋体"/>
          <w:b w:val="0"/>
          <w:bCs/>
          <w:sz w:val="21"/>
          <w:szCs w:val="21"/>
        </w:rPr>
        <w:t>d）智能玩具宜提供分级难度调节功能，可根据当日状态自动或手动降低难度；</w:t>
      </w:r>
    </w:p>
    <w:p w14:paraId="0F12EA92">
      <w:pPr>
        <w:spacing w:line="240" w:lineRule="auto"/>
        <w:ind w:firstLine="420"/>
        <w:rPr>
          <w:b w:val="0"/>
          <w:bCs/>
          <w:sz w:val="21"/>
          <w:szCs w:val="21"/>
        </w:rPr>
      </w:pPr>
      <w:r>
        <w:rPr>
          <w:rFonts w:ascii="宋体" w:hAnsi="宋体" w:eastAsia="宋体" w:cs="宋体"/>
          <w:b w:val="0"/>
          <w:bCs/>
          <w:sz w:val="21"/>
          <w:szCs w:val="21"/>
        </w:rPr>
        <w:t>e）鼓励合作性游戏，避免过度竞争导致挫败感；</w:t>
      </w:r>
    </w:p>
    <w:p w14:paraId="10128EEC">
      <w:pPr>
        <w:spacing w:line="240" w:lineRule="auto"/>
        <w:ind w:firstLine="420"/>
        <w:rPr>
          <w:b w:val="0"/>
          <w:bCs/>
          <w:sz w:val="21"/>
          <w:szCs w:val="21"/>
        </w:rPr>
      </w:pPr>
      <w:r>
        <w:rPr>
          <w:rFonts w:ascii="宋体" w:hAnsi="宋体" w:eastAsia="宋体" w:cs="宋体"/>
          <w:b w:val="0"/>
          <w:bCs/>
          <w:sz w:val="21"/>
          <w:szCs w:val="21"/>
        </w:rPr>
        <w:t>f）代际共玩时可采用</w:t>
      </w:r>
      <w:r>
        <w:rPr>
          <w:rFonts w:hint="eastAsia" w:cs="宋体"/>
          <w:b w:val="0"/>
          <w:bCs/>
          <w:sz w:val="21"/>
          <w:szCs w:val="21"/>
          <w:lang w:eastAsia="zh-CN"/>
        </w:rPr>
        <w:t>“</w:t>
      </w:r>
      <w:r>
        <w:rPr>
          <w:rFonts w:ascii="宋体" w:hAnsi="宋体" w:eastAsia="宋体" w:cs="宋体"/>
          <w:b w:val="0"/>
          <w:bCs/>
          <w:sz w:val="21"/>
          <w:szCs w:val="21"/>
        </w:rPr>
        <w:t>搭档协作</w:t>
      </w:r>
      <w:r>
        <w:rPr>
          <w:rFonts w:hint="eastAsia" w:cs="宋体"/>
          <w:b w:val="0"/>
          <w:bCs/>
          <w:sz w:val="21"/>
          <w:szCs w:val="21"/>
          <w:lang w:eastAsia="zh-CN"/>
        </w:rPr>
        <w:t>”</w:t>
      </w:r>
      <w:r>
        <w:rPr>
          <w:rFonts w:ascii="宋体" w:hAnsi="宋体" w:eastAsia="宋体" w:cs="宋体"/>
          <w:b w:val="0"/>
          <w:bCs/>
          <w:sz w:val="21"/>
          <w:szCs w:val="21"/>
        </w:rPr>
        <w:t>模式，由儿童与患者组成一队共同完成任务（如合作拼图、接力记忆翻牌），儿童在旁给予鼓励与提示，增强患者的参与信心；</w:t>
      </w:r>
    </w:p>
    <w:p w14:paraId="670290FF">
      <w:pPr>
        <w:spacing w:line="240" w:lineRule="auto"/>
        <w:ind w:firstLine="420"/>
        <w:rPr>
          <w:b w:val="0"/>
          <w:bCs/>
          <w:sz w:val="21"/>
          <w:szCs w:val="21"/>
        </w:rPr>
      </w:pPr>
      <w:r>
        <w:rPr>
          <w:rFonts w:ascii="宋体" w:hAnsi="宋体" w:eastAsia="宋体" w:cs="宋体"/>
          <w:b w:val="0"/>
          <w:bCs/>
          <w:sz w:val="21"/>
          <w:szCs w:val="21"/>
        </w:rPr>
        <w:t>g）可结合怀旧主题玩具，鼓励患者向儿童讲述个人经历，在代际共玩中发挥</w:t>
      </w:r>
      <w:r>
        <w:rPr>
          <w:rFonts w:hint="eastAsia" w:cs="宋体"/>
          <w:b w:val="0"/>
          <w:bCs/>
          <w:sz w:val="21"/>
          <w:szCs w:val="21"/>
          <w:lang w:eastAsia="zh-CN"/>
        </w:rPr>
        <w:t>“</w:t>
      </w:r>
      <w:r>
        <w:rPr>
          <w:rFonts w:ascii="宋体" w:hAnsi="宋体" w:eastAsia="宋体" w:cs="宋体"/>
          <w:b w:val="0"/>
          <w:bCs/>
          <w:sz w:val="21"/>
          <w:szCs w:val="21"/>
        </w:rPr>
        <w:t>讲述者</w:t>
      </w:r>
      <w:r>
        <w:rPr>
          <w:rFonts w:hint="eastAsia" w:cs="宋体"/>
          <w:b w:val="0"/>
          <w:bCs/>
          <w:sz w:val="21"/>
          <w:szCs w:val="21"/>
          <w:lang w:eastAsia="zh-CN"/>
        </w:rPr>
        <w:t>”</w:t>
      </w:r>
      <w:r>
        <w:rPr>
          <w:rFonts w:ascii="宋体" w:hAnsi="宋体" w:eastAsia="宋体" w:cs="宋体"/>
          <w:b w:val="0"/>
          <w:bCs/>
          <w:sz w:val="21"/>
          <w:szCs w:val="21"/>
        </w:rPr>
        <w:t>角色。</w:t>
      </w:r>
    </w:p>
    <w:p w14:paraId="5155FDCA">
      <w:pPr>
        <w:rPr>
          <w:b w:val="0"/>
          <w:bCs/>
          <w:sz w:val="21"/>
          <w:szCs w:val="21"/>
        </w:rPr>
      </w:pPr>
      <w:r>
        <w:rPr>
          <w:rFonts w:ascii="黑体" w:hAnsi="黑体" w:eastAsia="黑体" w:cs="黑体"/>
          <w:b w:val="0"/>
          <w:bCs/>
          <w:sz w:val="21"/>
          <w:szCs w:val="21"/>
        </w:rPr>
        <w:t>5.2.3　中度痴呆期玩具适配</w:t>
      </w:r>
    </w:p>
    <w:p w14:paraId="48DFDA09">
      <w:pPr>
        <w:spacing w:line="240" w:lineRule="auto"/>
        <w:ind w:firstLine="420"/>
        <w:rPr>
          <w:b w:val="0"/>
          <w:bCs/>
          <w:sz w:val="21"/>
          <w:szCs w:val="21"/>
        </w:rPr>
      </w:pPr>
      <w:r>
        <w:rPr>
          <w:rFonts w:ascii="宋体" w:hAnsi="宋体" w:eastAsia="宋体" w:cs="宋体"/>
          <w:b w:val="0"/>
          <w:bCs/>
          <w:sz w:val="21"/>
          <w:szCs w:val="21"/>
        </w:rPr>
        <w:t>中度痴呆期患者出现明显记忆缺损、定向力障碍和部分生活能力下降。该期玩具适配宜考虑以下方面：</w:t>
      </w:r>
    </w:p>
    <w:p w14:paraId="2D468584">
      <w:pPr>
        <w:spacing w:line="240" w:lineRule="auto"/>
        <w:ind w:firstLine="420"/>
        <w:rPr>
          <w:b w:val="0"/>
          <w:bCs/>
          <w:sz w:val="21"/>
          <w:szCs w:val="21"/>
        </w:rPr>
      </w:pPr>
      <w:r>
        <w:rPr>
          <w:rFonts w:ascii="宋体" w:hAnsi="宋体" w:eastAsia="宋体" w:cs="宋体"/>
          <w:b w:val="0"/>
          <w:bCs/>
          <w:sz w:val="21"/>
          <w:szCs w:val="21"/>
        </w:rPr>
        <w:t>a）以感官刺激类和简化认知训练类玩具为主；</w:t>
      </w:r>
    </w:p>
    <w:p w14:paraId="73075A7E">
      <w:pPr>
        <w:spacing w:line="240" w:lineRule="auto"/>
        <w:ind w:firstLine="420"/>
        <w:rPr>
          <w:b w:val="0"/>
          <w:bCs/>
          <w:sz w:val="21"/>
          <w:szCs w:val="21"/>
        </w:rPr>
      </w:pPr>
      <w:r>
        <w:rPr>
          <w:rFonts w:ascii="宋体" w:hAnsi="宋体" w:eastAsia="宋体" w:cs="宋体"/>
          <w:b w:val="0"/>
          <w:bCs/>
          <w:sz w:val="21"/>
          <w:szCs w:val="21"/>
        </w:rPr>
        <w:t>b）难度等级宜为初级到中级，规则应简单明确，操作步骤不超过3—5步；</w:t>
      </w:r>
    </w:p>
    <w:p w14:paraId="260E3444">
      <w:pPr>
        <w:spacing w:line="240" w:lineRule="auto"/>
        <w:ind w:firstLine="420"/>
        <w:rPr>
          <w:b w:val="0"/>
          <w:bCs/>
          <w:sz w:val="21"/>
          <w:szCs w:val="21"/>
        </w:rPr>
      </w:pPr>
      <w:r>
        <w:rPr>
          <w:rFonts w:ascii="宋体" w:hAnsi="宋体" w:eastAsia="宋体" w:cs="宋体"/>
          <w:b w:val="0"/>
          <w:bCs/>
          <w:sz w:val="21"/>
          <w:szCs w:val="21"/>
        </w:rPr>
        <w:t>c）玩具类型可选择大块拼图（12—36片）、分类配对游戏、因果关系玩具（如大按钮音乐盒）、怀旧主题道具、触觉感知板等；</w:t>
      </w:r>
    </w:p>
    <w:p w14:paraId="45E74B88">
      <w:pPr>
        <w:spacing w:line="240" w:lineRule="auto"/>
        <w:ind w:firstLine="420"/>
        <w:rPr>
          <w:b w:val="0"/>
          <w:bCs/>
          <w:sz w:val="21"/>
          <w:szCs w:val="21"/>
        </w:rPr>
      </w:pPr>
      <w:r>
        <w:rPr>
          <w:rFonts w:ascii="宋体" w:hAnsi="宋体" w:eastAsia="宋体" w:cs="宋体"/>
          <w:b w:val="0"/>
          <w:bCs/>
          <w:sz w:val="21"/>
          <w:szCs w:val="21"/>
        </w:rPr>
        <w:t>d）玩具宜提供清晰的视觉提示和听觉反馈；</w:t>
      </w:r>
    </w:p>
    <w:p w14:paraId="0069FDD1">
      <w:pPr>
        <w:spacing w:line="240" w:lineRule="auto"/>
        <w:ind w:firstLine="420"/>
        <w:rPr>
          <w:b w:val="0"/>
          <w:bCs/>
          <w:sz w:val="21"/>
          <w:szCs w:val="21"/>
        </w:rPr>
      </w:pPr>
      <w:r>
        <w:rPr>
          <w:rFonts w:ascii="宋体" w:hAnsi="宋体" w:eastAsia="宋体" w:cs="宋体"/>
          <w:b w:val="0"/>
          <w:bCs/>
          <w:sz w:val="21"/>
          <w:szCs w:val="21"/>
        </w:rPr>
        <w:t>e）避免竞争性游戏，以合作性和成就感导向的活动为主；</w:t>
      </w:r>
    </w:p>
    <w:p w14:paraId="49060216">
      <w:pPr>
        <w:spacing w:line="240" w:lineRule="auto"/>
        <w:ind w:firstLine="420"/>
        <w:rPr>
          <w:b w:val="0"/>
          <w:bCs/>
          <w:sz w:val="21"/>
          <w:szCs w:val="21"/>
        </w:rPr>
      </w:pPr>
      <w:r>
        <w:rPr>
          <w:rFonts w:ascii="宋体" w:hAnsi="宋体" w:eastAsia="宋体" w:cs="宋体"/>
          <w:b w:val="0"/>
          <w:bCs/>
          <w:sz w:val="21"/>
          <w:szCs w:val="21"/>
        </w:rPr>
        <w:t>f）代际共玩时宜采用合作式玩法，由儿童与患者共同完成拼图、分类配对或音乐互动，降低患者的挫败感，增强其信任感与归属感；</w:t>
      </w:r>
    </w:p>
    <w:p w14:paraId="441AD780">
      <w:pPr>
        <w:spacing w:line="240" w:lineRule="auto"/>
        <w:ind w:firstLine="420"/>
        <w:rPr>
          <w:b w:val="0"/>
          <w:bCs/>
          <w:sz w:val="21"/>
          <w:szCs w:val="21"/>
        </w:rPr>
      </w:pPr>
      <w:r>
        <w:rPr>
          <w:rFonts w:ascii="宋体" w:hAnsi="宋体" w:eastAsia="宋体" w:cs="宋体"/>
          <w:b w:val="0"/>
          <w:bCs/>
          <w:sz w:val="21"/>
          <w:szCs w:val="21"/>
        </w:rPr>
        <w:t>g）怀旧主题玩具可结合儿童的好奇心，鼓励患者向儿童讲述往事，在代际共玩中发挥</w:t>
      </w:r>
      <w:r>
        <w:rPr>
          <w:rFonts w:hint="eastAsia" w:cs="宋体"/>
          <w:b w:val="0"/>
          <w:bCs/>
          <w:sz w:val="21"/>
          <w:szCs w:val="21"/>
          <w:lang w:eastAsia="zh-CN"/>
        </w:rPr>
        <w:t>“</w:t>
      </w:r>
      <w:r>
        <w:rPr>
          <w:rFonts w:ascii="宋体" w:hAnsi="宋体" w:eastAsia="宋体" w:cs="宋体"/>
          <w:b w:val="0"/>
          <w:bCs/>
          <w:sz w:val="21"/>
          <w:szCs w:val="21"/>
        </w:rPr>
        <w:t>叙事者</w:t>
      </w:r>
      <w:r>
        <w:rPr>
          <w:rFonts w:hint="eastAsia" w:cs="宋体"/>
          <w:b w:val="0"/>
          <w:bCs/>
          <w:sz w:val="21"/>
          <w:szCs w:val="21"/>
          <w:lang w:eastAsia="zh-CN"/>
        </w:rPr>
        <w:t>”</w:t>
      </w:r>
      <w:r>
        <w:rPr>
          <w:rFonts w:ascii="宋体" w:hAnsi="宋体" w:eastAsia="宋体" w:cs="宋体"/>
          <w:b w:val="0"/>
          <w:bCs/>
          <w:sz w:val="21"/>
          <w:szCs w:val="21"/>
        </w:rPr>
        <w:t>角色。</w:t>
      </w:r>
    </w:p>
    <w:p w14:paraId="2B9C11A5">
      <w:pPr>
        <w:rPr>
          <w:b w:val="0"/>
          <w:bCs/>
          <w:sz w:val="21"/>
          <w:szCs w:val="21"/>
        </w:rPr>
      </w:pPr>
      <w:r>
        <w:rPr>
          <w:rFonts w:ascii="黑体" w:hAnsi="黑体" w:eastAsia="黑体" w:cs="黑体"/>
          <w:b w:val="0"/>
          <w:bCs/>
          <w:sz w:val="21"/>
          <w:szCs w:val="21"/>
        </w:rPr>
        <w:t>5.2.4　重度痴呆期玩具适配</w:t>
      </w:r>
    </w:p>
    <w:p w14:paraId="6E8B46A5">
      <w:pPr>
        <w:spacing w:line="240" w:lineRule="auto"/>
        <w:ind w:firstLine="420"/>
        <w:rPr>
          <w:b w:val="0"/>
          <w:bCs/>
          <w:sz w:val="21"/>
          <w:szCs w:val="21"/>
        </w:rPr>
      </w:pPr>
      <w:r>
        <w:rPr>
          <w:rFonts w:ascii="宋体" w:hAnsi="宋体" w:eastAsia="宋体" w:cs="宋体"/>
          <w:b w:val="0"/>
          <w:bCs/>
          <w:sz w:val="21"/>
          <w:szCs w:val="21"/>
        </w:rPr>
        <w:t>重度痴呆期患者语言表达能力严重受损，生活完全依赖照护者。该期玩具适配宜考虑以下方面：</w:t>
      </w:r>
    </w:p>
    <w:p w14:paraId="6AB00866">
      <w:pPr>
        <w:spacing w:line="240" w:lineRule="auto"/>
        <w:ind w:firstLine="420"/>
        <w:rPr>
          <w:b w:val="0"/>
          <w:bCs/>
          <w:sz w:val="21"/>
          <w:szCs w:val="21"/>
        </w:rPr>
      </w:pPr>
      <w:r>
        <w:rPr>
          <w:rFonts w:ascii="宋体" w:hAnsi="宋体" w:eastAsia="宋体" w:cs="宋体"/>
          <w:b w:val="0"/>
          <w:bCs/>
          <w:sz w:val="21"/>
          <w:szCs w:val="21"/>
        </w:rPr>
        <w:t>a）以感官安抚类和情感陪伴类玩具为主；</w:t>
      </w:r>
    </w:p>
    <w:p w14:paraId="51240DFC">
      <w:pPr>
        <w:spacing w:line="240" w:lineRule="auto"/>
        <w:ind w:firstLine="420"/>
        <w:rPr>
          <w:b w:val="0"/>
          <w:bCs/>
          <w:sz w:val="21"/>
          <w:szCs w:val="21"/>
        </w:rPr>
      </w:pPr>
      <w:r>
        <w:rPr>
          <w:rFonts w:ascii="宋体" w:hAnsi="宋体" w:eastAsia="宋体" w:cs="宋体"/>
          <w:b w:val="0"/>
          <w:bCs/>
          <w:sz w:val="21"/>
          <w:szCs w:val="21"/>
        </w:rPr>
        <w:t>b）不需要规则理解，强调触觉、听觉、视觉的直接感受；</w:t>
      </w:r>
    </w:p>
    <w:p w14:paraId="3780BB83">
      <w:pPr>
        <w:spacing w:line="240" w:lineRule="auto"/>
        <w:ind w:firstLine="420"/>
        <w:rPr>
          <w:b w:val="0"/>
          <w:bCs/>
          <w:sz w:val="21"/>
          <w:szCs w:val="21"/>
        </w:rPr>
      </w:pPr>
      <w:r>
        <w:rPr>
          <w:rFonts w:ascii="宋体" w:hAnsi="宋体" w:eastAsia="宋体" w:cs="宋体"/>
          <w:b w:val="0"/>
          <w:bCs/>
          <w:sz w:val="21"/>
          <w:szCs w:val="21"/>
        </w:rPr>
        <w:t>c）玩具类型可选择毛绒安抚玩偶（如仿真婴儿娃娃）、发光柔软球、香氛触觉毯、简易乐器（沙锤、手鼓）、互动式音乐盒等；</w:t>
      </w:r>
    </w:p>
    <w:p w14:paraId="1BC6A296">
      <w:pPr>
        <w:spacing w:line="240" w:lineRule="auto"/>
        <w:ind w:firstLine="420"/>
        <w:rPr>
          <w:b w:val="0"/>
          <w:bCs/>
          <w:sz w:val="21"/>
          <w:szCs w:val="21"/>
        </w:rPr>
      </w:pPr>
      <w:r>
        <w:rPr>
          <w:rFonts w:ascii="宋体" w:hAnsi="宋体" w:eastAsia="宋体" w:cs="宋体"/>
          <w:b w:val="0"/>
          <w:bCs/>
          <w:sz w:val="21"/>
          <w:szCs w:val="21"/>
        </w:rPr>
        <w:t>d）玩具宜安全耐用，可耐受反复抓握、拍打甚至撕咬；</w:t>
      </w:r>
    </w:p>
    <w:p w14:paraId="61525FF3">
      <w:pPr>
        <w:spacing w:line="240" w:lineRule="auto"/>
        <w:ind w:firstLine="420"/>
        <w:rPr>
          <w:b w:val="0"/>
          <w:bCs/>
          <w:sz w:val="21"/>
          <w:szCs w:val="21"/>
        </w:rPr>
      </w:pPr>
      <w:r>
        <w:rPr>
          <w:rFonts w:ascii="宋体" w:hAnsi="宋体" w:eastAsia="宋体" w:cs="宋体"/>
          <w:b w:val="0"/>
          <w:bCs/>
          <w:sz w:val="21"/>
          <w:szCs w:val="21"/>
        </w:rPr>
        <w:t>e）玩偶疗法适用时，宜选择形象逼真、触感柔软、可清洗的产品，帮助患者在</w:t>
      </w:r>
      <w:r>
        <w:rPr>
          <w:rFonts w:hint="eastAsia" w:cs="宋体"/>
          <w:b w:val="0"/>
          <w:bCs/>
          <w:sz w:val="21"/>
          <w:szCs w:val="21"/>
          <w:lang w:eastAsia="zh-CN"/>
        </w:rPr>
        <w:t>“</w:t>
      </w:r>
      <w:r>
        <w:rPr>
          <w:rFonts w:ascii="宋体" w:hAnsi="宋体" w:eastAsia="宋体" w:cs="宋体"/>
          <w:b w:val="0"/>
          <w:bCs/>
          <w:sz w:val="21"/>
          <w:szCs w:val="21"/>
        </w:rPr>
        <w:t>照顾者</w:t>
      </w:r>
      <w:r>
        <w:rPr>
          <w:rFonts w:hint="eastAsia" w:cs="宋体"/>
          <w:b w:val="0"/>
          <w:bCs/>
          <w:sz w:val="21"/>
          <w:szCs w:val="21"/>
          <w:lang w:eastAsia="zh-CN"/>
        </w:rPr>
        <w:t>”</w:t>
      </w:r>
      <w:r>
        <w:rPr>
          <w:rFonts w:ascii="宋体" w:hAnsi="宋体" w:eastAsia="宋体" w:cs="宋体"/>
          <w:b w:val="0"/>
          <w:bCs/>
          <w:sz w:val="21"/>
          <w:szCs w:val="21"/>
        </w:rPr>
        <w:t>角色中获得价值感和安全感；使用前建议由专业人员评估适配性，对存在妄想、激越症状的患者谨慎使用；</w:t>
      </w:r>
    </w:p>
    <w:p w14:paraId="5B231F64">
      <w:pPr>
        <w:spacing w:line="240" w:lineRule="auto"/>
        <w:ind w:firstLine="420"/>
        <w:rPr>
          <w:b w:val="0"/>
          <w:bCs/>
          <w:sz w:val="21"/>
          <w:szCs w:val="21"/>
        </w:rPr>
      </w:pPr>
      <w:r>
        <w:rPr>
          <w:rFonts w:ascii="宋体" w:hAnsi="宋体" w:eastAsia="宋体" w:cs="宋体"/>
          <w:b w:val="0"/>
          <w:bCs/>
          <w:sz w:val="21"/>
          <w:szCs w:val="21"/>
        </w:rPr>
        <w:t>f）代际共玩以非语言互动为主，可由儿童在照护者引导下进行轻柔的肢体互动，如轻拍节奏、传递柔软玩具、共同摇晃沙锤或聆听音乐，重点不在于完成游戏任务，而在于通过感官层面的共同体验建立情感连接；</w:t>
      </w:r>
    </w:p>
    <w:p w14:paraId="5839D5C9">
      <w:pPr>
        <w:spacing w:line="240" w:lineRule="auto"/>
        <w:ind w:firstLine="420"/>
        <w:rPr>
          <w:b w:val="0"/>
          <w:bCs/>
          <w:sz w:val="21"/>
          <w:szCs w:val="21"/>
        </w:rPr>
      </w:pPr>
      <w:r>
        <w:rPr>
          <w:rFonts w:ascii="宋体" w:hAnsi="宋体" w:eastAsia="宋体" w:cs="宋体"/>
          <w:b w:val="0"/>
          <w:bCs/>
          <w:sz w:val="21"/>
          <w:szCs w:val="21"/>
        </w:rPr>
        <w:t>g）儿童的温和陪伴与肢体亲近有助于唤起患者的积极情绪反应，缓解焦虑和孤独感；照护者宜全程在场引导，确保互动节奏温和、安全，避免过度刺激。</w:t>
      </w:r>
    </w:p>
    <w:p w14:paraId="516C3033">
      <w:pPr>
        <w:pStyle w:val="50"/>
        <w:numPr>
          <w:ilvl w:val="1"/>
          <w:numId w:val="0"/>
        </w:numPr>
        <w:bidi w:val="0"/>
        <w:ind w:leftChars="0"/>
      </w:pPr>
      <w:r>
        <w:t>5.3　分期适配方案汇总</w:t>
      </w:r>
    </w:p>
    <w:p w14:paraId="5B941750">
      <w:pPr>
        <w:spacing w:line="240" w:lineRule="auto"/>
        <w:ind w:firstLine="420"/>
        <w:rPr>
          <w:rFonts w:ascii="宋体" w:hAnsi="宋体" w:eastAsia="宋体" w:cs="宋体"/>
          <w:b w:val="0"/>
          <w:bCs/>
          <w:sz w:val="21"/>
          <w:szCs w:val="21"/>
        </w:rPr>
      </w:pPr>
      <w:r>
        <w:rPr>
          <w:rFonts w:ascii="宋体" w:hAnsi="宋体" w:eastAsia="宋体" w:cs="宋体"/>
          <w:b w:val="0"/>
          <w:bCs/>
          <w:sz w:val="21"/>
          <w:szCs w:val="21"/>
        </w:rPr>
        <w:t>表1给出了认知障碍各分期适配方案的汇总信息，作为5.2.1—5.2.4的快速查阅参考。</w:t>
      </w:r>
    </w:p>
    <w:p w14:paraId="5CF559B2">
      <w:pPr>
        <w:jc w:val="center"/>
        <w:rPr>
          <w:rFonts w:hint="eastAsia" w:ascii="黑体" w:hAnsi="黑体" w:eastAsia="黑体" w:cs="黑体"/>
          <w:b w:val="0"/>
          <w:bCs w:val="0"/>
          <w:sz w:val="21"/>
          <w:szCs w:val="21"/>
          <w:lang w:val="en-US" w:eastAsia="zh-CN"/>
        </w:rPr>
      </w:pPr>
      <w:r>
        <w:rPr>
          <w:rFonts w:ascii="黑体" w:hAnsi="黑体" w:eastAsia="黑体" w:cs="黑体"/>
          <w:b w:val="0"/>
          <w:bCs w:val="0"/>
          <w:sz w:val="21"/>
          <w:szCs w:val="21"/>
        </w:rPr>
        <w:t>表1</w:t>
      </w:r>
      <w:r>
        <w:rPr>
          <w:rFonts w:hint="eastAsia" w:ascii="黑体" w:hAnsi="黑体" w:eastAsia="黑体" w:cs="黑体"/>
          <w:b w:val="0"/>
          <w:bCs w:val="0"/>
          <w:sz w:val="21"/>
          <w:szCs w:val="21"/>
          <w:lang w:val="en-US" w:eastAsia="zh-CN"/>
        </w:rPr>
        <w:t xml:space="preserve"> </w:t>
      </w:r>
      <w:r>
        <w:rPr>
          <w:rFonts w:ascii="黑体" w:hAnsi="黑体" w:eastAsia="黑体" w:cs="黑体"/>
          <w:b w:val="0"/>
          <w:bCs w:val="0"/>
          <w:sz w:val="21"/>
          <w:szCs w:val="21"/>
        </w:rPr>
        <w:t>认知障碍各分期适配方案的汇总</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4"/>
        <w:gridCol w:w="1824"/>
        <w:gridCol w:w="2292"/>
        <w:gridCol w:w="1356"/>
        <w:gridCol w:w="1824"/>
      </w:tblGrid>
      <w:tr w14:paraId="15CE6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824" w:type="dxa"/>
            <w:vAlign w:val="center"/>
          </w:tcPr>
          <w:p w14:paraId="7E348CB4">
            <w:pPr>
              <w:spacing w:after="0" w:line="240" w:lineRule="auto"/>
              <w:jc w:val="center"/>
              <w:rPr>
                <w:b w:val="0"/>
                <w:bCs/>
                <w:sz w:val="21"/>
                <w:szCs w:val="21"/>
              </w:rPr>
            </w:pPr>
            <w:r>
              <w:rPr>
                <w:rFonts w:ascii="黑体" w:hAnsi="黑体" w:eastAsia="黑体" w:cs="黑体"/>
                <w:b w:val="0"/>
                <w:bCs/>
                <w:sz w:val="21"/>
                <w:szCs w:val="21"/>
              </w:rPr>
              <w:t>分期</w:t>
            </w:r>
          </w:p>
        </w:tc>
        <w:tc>
          <w:tcPr>
            <w:tcW w:w="1824" w:type="dxa"/>
            <w:vAlign w:val="center"/>
          </w:tcPr>
          <w:p w14:paraId="5A63C54A">
            <w:pPr>
              <w:spacing w:after="0" w:line="240" w:lineRule="auto"/>
              <w:jc w:val="center"/>
              <w:rPr>
                <w:b w:val="0"/>
                <w:bCs/>
                <w:sz w:val="21"/>
                <w:szCs w:val="21"/>
              </w:rPr>
            </w:pPr>
            <w:r>
              <w:rPr>
                <w:rFonts w:ascii="黑体" w:hAnsi="黑体" w:eastAsia="黑体" w:cs="黑体"/>
                <w:b w:val="0"/>
                <w:bCs/>
                <w:sz w:val="21"/>
                <w:szCs w:val="21"/>
              </w:rPr>
              <w:t>认知特征</w:t>
            </w:r>
          </w:p>
        </w:tc>
        <w:tc>
          <w:tcPr>
            <w:tcW w:w="2292" w:type="dxa"/>
            <w:vAlign w:val="center"/>
          </w:tcPr>
          <w:p w14:paraId="65E3BB20">
            <w:pPr>
              <w:spacing w:after="0" w:line="240" w:lineRule="auto"/>
              <w:jc w:val="center"/>
              <w:rPr>
                <w:b w:val="0"/>
                <w:bCs/>
                <w:sz w:val="21"/>
                <w:szCs w:val="21"/>
              </w:rPr>
            </w:pPr>
            <w:r>
              <w:rPr>
                <w:rFonts w:ascii="黑体" w:hAnsi="黑体" w:eastAsia="黑体" w:cs="黑体"/>
                <w:b w:val="0"/>
                <w:bCs/>
                <w:sz w:val="21"/>
                <w:szCs w:val="21"/>
              </w:rPr>
              <w:t>推荐玩具类型</w:t>
            </w:r>
          </w:p>
        </w:tc>
        <w:tc>
          <w:tcPr>
            <w:tcW w:w="1356" w:type="dxa"/>
            <w:vAlign w:val="center"/>
          </w:tcPr>
          <w:p w14:paraId="5D1BBF19">
            <w:pPr>
              <w:spacing w:after="0" w:line="240" w:lineRule="auto"/>
              <w:jc w:val="center"/>
              <w:rPr>
                <w:b w:val="0"/>
                <w:bCs/>
                <w:sz w:val="21"/>
                <w:szCs w:val="21"/>
              </w:rPr>
            </w:pPr>
            <w:r>
              <w:rPr>
                <w:rFonts w:ascii="黑体" w:hAnsi="黑体" w:eastAsia="黑体" w:cs="黑体"/>
                <w:b w:val="0"/>
                <w:bCs/>
                <w:sz w:val="21"/>
                <w:szCs w:val="21"/>
              </w:rPr>
              <w:t>难度等级</w:t>
            </w:r>
          </w:p>
        </w:tc>
        <w:tc>
          <w:tcPr>
            <w:tcW w:w="1824" w:type="dxa"/>
            <w:vAlign w:val="center"/>
          </w:tcPr>
          <w:p w14:paraId="718C5EBB">
            <w:pPr>
              <w:spacing w:after="0" w:line="240" w:lineRule="auto"/>
              <w:jc w:val="center"/>
              <w:rPr>
                <w:b w:val="0"/>
                <w:bCs/>
                <w:sz w:val="21"/>
                <w:szCs w:val="21"/>
              </w:rPr>
            </w:pPr>
            <w:r>
              <w:rPr>
                <w:rFonts w:ascii="黑体" w:hAnsi="黑体" w:eastAsia="黑体" w:cs="黑体"/>
                <w:b w:val="0"/>
                <w:bCs/>
                <w:sz w:val="21"/>
                <w:szCs w:val="21"/>
              </w:rPr>
              <w:t>代际共玩要点</w:t>
            </w:r>
          </w:p>
        </w:tc>
      </w:tr>
      <w:tr w14:paraId="13DC8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4" w:type="dxa"/>
            <w:vAlign w:val="center"/>
          </w:tcPr>
          <w:p w14:paraId="2E682DB8">
            <w:pPr>
              <w:spacing w:after="0" w:line="240" w:lineRule="auto"/>
              <w:jc w:val="center"/>
              <w:rPr>
                <w:b w:val="0"/>
                <w:bCs/>
                <w:sz w:val="21"/>
                <w:szCs w:val="21"/>
              </w:rPr>
            </w:pPr>
            <w:r>
              <w:rPr>
                <w:rFonts w:ascii="宋体" w:hAnsi="宋体" w:eastAsia="宋体" w:cs="宋体"/>
                <w:b w:val="0"/>
                <w:bCs/>
                <w:sz w:val="21"/>
                <w:szCs w:val="21"/>
              </w:rPr>
              <w:t>轻度认知障碍期（MCI）</w:t>
            </w:r>
          </w:p>
        </w:tc>
        <w:tc>
          <w:tcPr>
            <w:tcW w:w="1824" w:type="dxa"/>
            <w:vAlign w:val="center"/>
          </w:tcPr>
          <w:p w14:paraId="66D2DDC4">
            <w:pPr>
              <w:spacing w:after="0" w:line="240" w:lineRule="auto"/>
              <w:rPr>
                <w:b w:val="0"/>
                <w:bCs/>
                <w:sz w:val="21"/>
                <w:szCs w:val="21"/>
              </w:rPr>
            </w:pPr>
            <w:r>
              <w:rPr>
                <w:rFonts w:ascii="宋体" w:hAnsi="宋体" w:eastAsia="宋体" w:cs="宋体"/>
                <w:b w:val="0"/>
                <w:bCs/>
                <w:sz w:val="21"/>
                <w:szCs w:val="21"/>
              </w:rPr>
              <w:t>近事记忆减退、执行功能下降、语言轻度受损</w:t>
            </w:r>
          </w:p>
        </w:tc>
        <w:tc>
          <w:tcPr>
            <w:tcW w:w="2292" w:type="dxa"/>
            <w:vAlign w:val="center"/>
          </w:tcPr>
          <w:p w14:paraId="30BE62EC">
            <w:pPr>
              <w:spacing w:after="0" w:line="240" w:lineRule="auto"/>
              <w:rPr>
                <w:b w:val="0"/>
                <w:bCs/>
                <w:sz w:val="21"/>
                <w:szCs w:val="21"/>
              </w:rPr>
            </w:pPr>
            <w:r>
              <w:rPr>
                <w:rFonts w:hint="eastAsia" w:ascii="宋体" w:hAnsi="宋体" w:eastAsia="宋体" w:cs="宋体"/>
                <w:b w:val="0"/>
                <w:bCs/>
                <w:sz w:val="21"/>
                <w:szCs w:val="21"/>
              </w:rPr>
              <w:t>策略棋类、数字华容道、多步骤拼图</w:t>
            </w:r>
            <w:r>
              <w:rPr>
                <w:rFonts w:hint="eastAsia" w:ascii="宋体" w:hAnsi="宋体" w:cs="宋体"/>
                <w:b w:val="0"/>
                <w:bCs/>
                <w:sz w:val="21"/>
                <w:szCs w:val="21"/>
                <w:lang w:eastAsia="zh-CN"/>
              </w:rPr>
              <w:t>（</w:t>
            </w:r>
            <w:r>
              <w:rPr>
                <w:rFonts w:hint="default" w:ascii="宋体" w:hAnsi="宋体" w:eastAsia="宋体" w:cs="宋体"/>
                <w:b w:val="0"/>
                <w:bCs/>
                <w:sz w:val="21"/>
                <w:szCs w:val="21"/>
              </w:rPr>
              <w:t>48—100片）</w:t>
            </w:r>
            <w:r>
              <w:rPr>
                <w:rFonts w:hint="eastAsia" w:ascii="宋体" w:hAnsi="宋体" w:eastAsia="宋体" w:cs="宋体"/>
                <w:b w:val="0"/>
                <w:bCs/>
                <w:sz w:val="21"/>
                <w:szCs w:val="21"/>
              </w:rPr>
              <w:t>、记忆翻牌、逻辑推演游戏</w:t>
            </w:r>
          </w:p>
        </w:tc>
        <w:tc>
          <w:tcPr>
            <w:tcW w:w="1356" w:type="dxa"/>
            <w:vAlign w:val="center"/>
          </w:tcPr>
          <w:p w14:paraId="7A8024AE">
            <w:pPr>
              <w:spacing w:after="0" w:line="240" w:lineRule="auto"/>
              <w:jc w:val="center"/>
              <w:rPr>
                <w:b w:val="0"/>
                <w:bCs/>
                <w:sz w:val="21"/>
                <w:szCs w:val="21"/>
              </w:rPr>
            </w:pPr>
            <w:r>
              <w:rPr>
                <w:rFonts w:ascii="宋体" w:hAnsi="宋体" w:eastAsia="宋体" w:cs="宋体"/>
                <w:b w:val="0"/>
                <w:bCs/>
                <w:sz w:val="21"/>
                <w:szCs w:val="21"/>
              </w:rPr>
              <w:t>中高级</w:t>
            </w:r>
          </w:p>
        </w:tc>
        <w:tc>
          <w:tcPr>
            <w:tcW w:w="1824" w:type="dxa"/>
            <w:vAlign w:val="center"/>
          </w:tcPr>
          <w:p w14:paraId="1C4FC6C5">
            <w:pPr>
              <w:spacing w:after="0" w:line="240" w:lineRule="auto"/>
              <w:rPr>
                <w:rFonts w:hint="eastAsia" w:eastAsia="宋体"/>
                <w:b w:val="0"/>
                <w:bCs/>
                <w:sz w:val="21"/>
                <w:szCs w:val="21"/>
                <w:lang w:eastAsia="zh-CN"/>
              </w:rPr>
            </w:pPr>
            <w:r>
              <w:rPr>
                <w:rFonts w:ascii="宋体" w:hAnsi="宋体" w:eastAsia="宋体" w:cs="宋体"/>
                <w:b w:val="0"/>
                <w:bCs/>
                <w:sz w:val="21"/>
                <w:szCs w:val="21"/>
              </w:rPr>
              <w:t>儿童参与策略对弈或协作解谜；患者可担任</w:t>
            </w:r>
            <w:r>
              <w:rPr>
                <w:rFonts w:hint="eastAsia" w:cs="宋体"/>
                <w:b w:val="0"/>
                <w:bCs/>
                <w:sz w:val="21"/>
                <w:szCs w:val="21"/>
                <w:lang w:eastAsia="zh-CN"/>
              </w:rPr>
              <w:t>“</w:t>
            </w:r>
            <w:r>
              <w:rPr>
                <w:rFonts w:ascii="宋体" w:hAnsi="宋体" w:eastAsia="宋体" w:cs="宋体"/>
                <w:b w:val="0"/>
                <w:bCs/>
                <w:sz w:val="21"/>
                <w:szCs w:val="21"/>
              </w:rPr>
              <w:t>指导者</w:t>
            </w:r>
            <w:r>
              <w:rPr>
                <w:rFonts w:hint="eastAsia" w:cs="宋体"/>
                <w:b w:val="0"/>
                <w:bCs/>
                <w:sz w:val="21"/>
                <w:szCs w:val="21"/>
                <w:lang w:eastAsia="zh-CN"/>
              </w:rPr>
              <w:t>”</w:t>
            </w:r>
            <w:r>
              <w:rPr>
                <w:rFonts w:ascii="宋体" w:hAnsi="宋体" w:eastAsia="宋体" w:cs="宋体"/>
                <w:b w:val="0"/>
                <w:bCs/>
                <w:sz w:val="21"/>
                <w:szCs w:val="21"/>
              </w:rPr>
              <w:t>角色</w:t>
            </w:r>
            <w:r>
              <w:rPr>
                <w:rFonts w:hint="eastAsia" w:cs="宋体"/>
                <w:b w:val="0"/>
                <w:bCs/>
                <w:sz w:val="21"/>
                <w:szCs w:val="21"/>
                <w:lang w:eastAsia="zh-CN"/>
              </w:rPr>
              <w:t>。</w:t>
            </w:r>
          </w:p>
        </w:tc>
      </w:tr>
      <w:tr w14:paraId="1C87E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4" w:type="dxa"/>
            <w:vAlign w:val="center"/>
          </w:tcPr>
          <w:p w14:paraId="7BEEC7B8">
            <w:pPr>
              <w:spacing w:after="0" w:line="240" w:lineRule="auto"/>
              <w:jc w:val="center"/>
              <w:rPr>
                <w:b w:val="0"/>
                <w:bCs/>
                <w:sz w:val="21"/>
                <w:szCs w:val="21"/>
              </w:rPr>
            </w:pPr>
            <w:r>
              <w:rPr>
                <w:rFonts w:ascii="宋体" w:hAnsi="宋体" w:eastAsia="宋体" w:cs="宋体"/>
                <w:b w:val="0"/>
                <w:bCs/>
                <w:sz w:val="21"/>
                <w:szCs w:val="21"/>
              </w:rPr>
              <w:t>轻度痴呆</w:t>
            </w:r>
          </w:p>
        </w:tc>
        <w:tc>
          <w:tcPr>
            <w:tcW w:w="1824" w:type="dxa"/>
            <w:vAlign w:val="center"/>
          </w:tcPr>
          <w:p w14:paraId="56CB5014">
            <w:pPr>
              <w:spacing w:after="0" w:line="240" w:lineRule="auto"/>
              <w:rPr>
                <w:b w:val="0"/>
                <w:bCs/>
                <w:sz w:val="21"/>
                <w:szCs w:val="21"/>
              </w:rPr>
            </w:pPr>
            <w:r>
              <w:rPr>
                <w:rFonts w:ascii="宋体" w:hAnsi="宋体" w:eastAsia="宋体" w:cs="宋体"/>
                <w:b w:val="0"/>
                <w:bCs/>
                <w:sz w:val="21"/>
                <w:szCs w:val="21"/>
              </w:rPr>
              <w:t>明显记忆缺损、执行功能下降、生活需部分支持</w:t>
            </w:r>
          </w:p>
        </w:tc>
        <w:tc>
          <w:tcPr>
            <w:tcW w:w="2292" w:type="dxa"/>
            <w:vAlign w:val="center"/>
          </w:tcPr>
          <w:p w14:paraId="3EEE15DA">
            <w:pPr>
              <w:spacing w:after="0" w:line="240" w:lineRule="auto"/>
              <w:rPr>
                <w:b w:val="0"/>
                <w:bCs/>
                <w:sz w:val="21"/>
                <w:szCs w:val="21"/>
              </w:rPr>
            </w:pPr>
            <w:r>
              <w:rPr>
                <w:rFonts w:ascii="宋体" w:hAnsi="宋体" w:eastAsia="宋体" w:cs="宋体"/>
                <w:b w:val="0"/>
                <w:bCs/>
                <w:sz w:val="21"/>
                <w:szCs w:val="21"/>
              </w:rPr>
              <w:t>中等</w:t>
            </w:r>
            <w:r>
              <w:rPr>
                <w:rFonts w:hint="eastAsia" w:ascii="宋体" w:hAnsi="宋体" w:cs="宋体"/>
                <w:b w:val="0"/>
                <w:bCs/>
                <w:sz w:val="21"/>
                <w:szCs w:val="21"/>
                <w:lang w:val="en-US" w:eastAsia="zh-CN"/>
              </w:rPr>
              <w:t>难度</w:t>
            </w:r>
            <w:r>
              <w:rPr>
                <w:rFonts w:ascii="宋体" w:hAnsi="宋体" w:eastAsia="宋体" w:cs="宋体"/>
                <w:b w:val="0"/>
                <w:bCs/>
                <w:sz w:val="21"/>
                <w:szCs w:val="21"/>
              </w:rPr>
              <w:t>拼图（24—48片）、简易策略棋</w:t>
            </w:r>
            <w:r>
              <w:rPr>
                <w:rFonts w:hint="eastAsia" w:ascii="宋体" w:hAnsi="宋体" w:cs="宋体"/>
                <w:b w:val="0"/>
                <w:bCs/>
                <w:sz w:val="21"/>
                <w:szCs w:val="21"/>
                <w:lang w:val="en-US" w:eastAsia="zh-CN"/>
              </w:rPr>
              <w:t>类</w:t>
            </w:r>
            <w:r>
              <w:rPr>
                <w:rFonts w:hint="eastAsia" w:ascii="宋体" w:hAnsi="宋体" w:cs="宋体"/>
                <w:b w:val="0"/>
                <w:bCs/>
                <w:sz w:val="21"/>
                <w:szCs w:val="21"/>
                <w:lang w:eastAsia="zh-CN"/>
              </w:rPr>
              <w:t>、节奏打击乐器</w:t>
            </w:r>
            <w:r>
              <w:rPr>
                <w:rFonts w:ascii="宋体" w:hAnsi="宋体" w:eastAsia="宋体" w:cs="宋体"/>
                <w:b w:val="0"/>
                <w:bCs/>
                <w:sz w:val="21"/>
                <w:szCs w:val="21"/>
              </w:rPr>
              <w:t>、数字/字母配对卡、</w:t>
            </w:r>
            <w:r>
              <w:rPr>
                <w:rFonts w:hint="eastAsia" w:ascii="宋体" w:hAnsi="宋体" w:cs="宋体"/>
                <w:b w:val="0"/>
                <w:bCs/>
                <w:sz w:val="21"/>
                <w:szCs w:val="21"/>
                <w:lang w:val="en-US" w:eastAsia="zh-CN"/>
              </w:rPr>
              <w:t>简易</w:t>
            </w:r>
            <w:r>
              <w:rPr>
                <w:rFonts w:ascii="宋体" w:hAnsi="宋体" w:eastAsia="宋体" w:cs="宋体"/>
                <w:b w:val="0"/>
                <w:bCs/>
                <w:sz w:val="21"/>
                <w:szCs w:val="21"/>
              </w:rPr>
              <w:t>记忆翻牌（8—16对）</w:t>
            </w:r>
          </w:p>
        </w:tc>
        <w:tc>
          <w:tcPr>
            <w:tcW w:w="1356" w:type="dxa"/>
            <w:vAlign w:val="center"/>
          </w:tcPr>
          <w:p w14:paraId="2195FB6A">
            <w:pPr>
              <w:spacing w:after="0" w:line="240" w:lineRule="auto"/>
              <w:jc w:val="center"/>
              <w:rPr>
                <w:b w:val="0"/>
                <w:bCs/>
                <w:sz w:val="21"/>
                <w:szCs w:val="21"/>
              </w:rPr>
            </w:pPr>
            <w:r>
              <w:rPr>
                <w:rFonts w:ascii="宋体" w:hAnsi="宋体" w:eastAsia="宋体" w:cs="宋体"/>
                <w:b w:val="0"/>
                <w:bCs/>
                <w:sz w:val="21"/>
                <w:szCs w:val="21"/>
              </w:rPr>
              <w:t>中级</w:t>
            </w:r>
          </w:p>
        </w:tc>
        <w:tc>
          <w:tcPr>
            <w:tcW w:w="1824" w:type="dxa"/>
            <w:vAlign w:val="center"/>
          </w:tcPr>
          <w:p w14:paraId="216496F8">
            <w:pPr>
              <w:spacing w:after="0" w:line="240" w:lineRule="auto"/>
              <w:rPr>
                <w:rFonts w:hint="eastAsia" w:eastAsia="宋体"/>
                <w:b w:val="0"/>
                <w:bCs/>
                <w:sz w:val="21"/>
                <w:szCs w:val="21"/>
                <w:lang w:eastAsia="zh-CN"/>
              </w:rPr>
            </w:pPr>
            <w:r>
              <w:rPr>
                <w:rFonts w:ascii="宋体" w:hAnsi="宋体" w:eastAsia="宋体" w:cs="宋体"/>
                <w:b w:val="0"/>
                <w:bCs/>
                <w:sz w:val="21"/>
                <w:szCs w:val="21"/>
              </w:rPr>
              <w:t>搭档协作模式；儿童给予提示鼓励；患者可担任</w:t>
            </w:r>
            <w:r>
              <w:rPr>
                <w:rFonts w:hint="eastAsia" w:cs="宋体"/>
                <w:b w:val="0"/>
                <w:bCs/>
                <w:sz w:val="21"/>
                <w:szCs w:val="21"/>
                <w:lang w:eastAsia="zh-CN"/>
              </w:rPr>
              <w:t>“</w:t>
            </w:r>
            <w:r>
              <w:rPr>
                <w:rFonts w:ascii="宋体" w:hAnsi="宋体" w:eastAsia="宋体" w:cs="宋体"/>
                <w:b w:val="0"/>
                <w:bCs/>
                <w:sz w:val="21"/>
                <w:szCs w:val="21"/>
              </w:rPr>
              <w:t>讲述者</w:t>
            </w:r>
            <w:r>
              <w:rPr>
                <w:rFonts w:hint="eastAsia" w:cs="宋体"/>
                <w:b w:val="0"/>
                <w:bCs/>
                <w:sz w:val="21"/>
                <w:szCs w:val="21"/>
                <w:lang w:eastAsia="zh-CN"/>
              </w:rPr>
              <w:t>”</w:t>
            </w:r>
            <w:r>
              <w:rPr>
                <w:rFonts w:ascii="宋体" w:hAnsi="宋体" w:eastAsia="宋体" w:cs="宋体"/>
                <w:b w:val="0"/>
                <w:bCs/>
                <w:sz w:val="21"/>
                <w:szCs w:val="21"/>
              </w:rPr>
              <w:t>角色</w:t>
            </w:r>
            <w:r>
              <w:rPr>
                <w:rFonts w:hint="eastAsia" w:cs="宋体"/>
                <w:b w:val="0"/>
                <w:bCs/>
                <w:sz w:val="21"/>
                <w:szCs w:val="21"/>
                <w:lang w:eastAsia="zh-CN"/>
              </w:rPr>
              <w:t>。</w:t>
            </w:r>
          </w:p>
        </w:tc>
      </w:tr>
      <w:tr w14:paraId="73F46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4" w:type="dxa"/>
            <w:vAlign w:val="center"/>
          </w:tcPr>
          <w:p w14:paraId="33622681">
            <w:pPr>
              <w:spacing w:after="0" w:line="240" w:lineRule="auto"/>
              <w:jc w:val="center"/>
              <w:rPr>
                <w:b w:val="0"/>
                <w:bCs/>
                <w:sz w:val="21"/>
                <w:szCs w:val="21"/>
              </w:rPr>
            </w:pPr>
            <w:r>
              <w:rPr>
                <w:rFonts w:ascii="宋体" w:hAnsi="宋体" w:eastAsia="宋体" w:cs="宋体"/>
                <w:b w:val="0"/>
                <w:bCs/>
                <w:sz w:val="21"/>
                <w:szCs w:val="21"/>
              </w:rPr>
              <w:t>中度痴呆</w:t>
            </w:r>
          </w:p>
        </w:tc>
        <w:tc>
          <w:tcPr>
            <w:tcW w:w="1824" w:type="dxa"/>
            <w:vAlign w:val="center"/>
          </w:tcPr>
          <w:p w14:paraId="56EEE107">
            <w:pPr>
              <w:spacing w:after="0" w:line="240" w:lineRule="auto"/>
              <w:rPr>
                <w:b w:val="0"/>
                <w:bCs/>
                <w:sz w:val="21"/>
                <w:szCs w:val="21"/>
              </w:rPr>
            </w:pPr>
            <w:r>
              <w:rPr>
                <w:rFonts w:ascii="宋体" w:hAnsi="宋体" w:eastAsia="宋体" w:cs="宋体"/>
                <w:b w:val="0"/>
                <w:bCs/>
                <w:sz w:val="21"/>
                <w:szCs w:val="21"/>
              </w:rPr>
              <w:t>明显记忆缺损、定向障碍、部分生活不能自理</w:t>
            </w:r>
          </w:p>
        </w:tc>
        <w:tc>
          <w:tcPr>
            <w:tcW w:w="2292" w:type="dxa"/>
            <w:vAlign w:val="center"/>
          </w:tcPr>
          <w:p w14:paraId="3F565FCD">
            <w:pPr>
              <w:spacing w:after="0" w:line="240" w:lineRule="auto"/>
              <w:rPr>
                <w:rFonts w:hint="default" w:eastAsia="宋体"/>
                <w:b w:val="0"/>
                <w:bCs/>
                <w:sz w:val="21"/>
                <w:szCs w:val="21"/>
                <w:lang w:val="en-US" w:eastAsia="zh-CN"/>
              </w:rPr>
            </w:pPr>
            <w:r>
              <w:rPr>
                <w:rFonts w:ascii="宋体" w:hAnsi="宋体" w:eastAsia="宋体" w:cs="宋体"/>
                <w:b w:val="0"/>
                <w:bCs/>
                <w:sz w:val="21"/>
                <w:szCs w:val="21"/>
              </w:rPr>
              <w:t>大块拼图（12—36片）、分类配对</w:t>
            </w:r>
            <w:r>
              <w:rPr>
                <w:rFonts w:hint="eastAsia" w:ascii="宋体" w:hAnsi="宋体" w:eastAsia="宋体" w:cs="宋体"/>
                <w:b w:val="0"/>
                <w:bCs/>
                <w:sz w:val="21"/>
                <w:szCs w:val="21"/>
                <w:lang w:val="en-US" w:eastAsia="zh-CN"/>
              </w:rPr>
              <w:t>游戏</w:t>
            </w:r>
            <w:r>
              <w:rPr>
                <w:rFonts w:ascii="宋体" w:hAnsi="宋体" w:eastAsia="宋体" w:cs="宋体"/>
                <w:b w:val="0"/>
                <w:bCs/>
                <w:sz w:val="21"/>
                <w:szCs w:val="21"/>
              </w:rPr>
              <w:t>、因果关系玩具、怀旧</w:t>
            </w:r>
            <w:r>
              <w:rPr>
                <w:rFonts w:hint="eastAsia" w:ascii="宋体" w:hAnsi="宋体" w:cs="宋体"/>
                <w:b w:val="0"/>
                <w:bCs/>
                <w:sz w:val="21"/>
                <w:szCs w:val="21"/>
                <w:lang w:val="en-US" w:eastAsia="zh-CN"/>
              </w:rPr>
              <w:t>主题</w:t>
            </w:r>
            <w:r>
              <w:rPr>
                <w:rFonts w:ascii="宋体" w:hAnsi="宋体" w:eastAsia="宋体" w:cs="宋体"/>
                <w:b w:val="0"/>
                <w:bCs/>
                <w:sz w:val="21"/>
                <w:szCs w:val="21"/>
              </w:rPr>
              <w:t>道具、触觉</w:t>
            </w:r>
            <w:r>
              <w:rPr>
                <w:rFonts w:hint="eastAsia" w:ascii="宋体" w:hAnsi="宋体" w:cs="宋体"/>
                <w:b w:val="0"/>
                <w:bCs/>
                <w:sz w:val="21"/>
                <w:szCs w:val="21"/>
                <w:lang w:val="en-US" w:eastAsia="zh-CN"/>
              </w:rPr>
              <w:t>感知板</w:t>
            </w:r>
          </w:p>
        </w:tc>
        <w:tc>
          <w:tcPr>
            <w:tcW w:w="1356" w:type="dxa"/>
            <w:vAlign w:val="center"/>
          </w:tcPr>
          <w:p w14:paraId="1F1802E6">
            <w:pPr>
              <w:spacing w:after="0" w:line="240" w:lineRule="auto"/>
              <w:jc w:val="center"/>
              <w:rPr>
                <w:b w:val="0"/>
                <w:bCs/>
                <w:sz w:val="21"/>
                <w:szCs w:val="21"/>
              </w:rPr>
            </w:pPr>
            <w:r>
              <w:rPr>
                <w:rFonts w:ascii="宋体" w:hAnsi="宋体" w:eastAsia="宋体" w:cs="宋体"/>
                <w:b w:val="0"/>
                <w:bCs/>
                <w:sz w:val="21"/>
                <w:szCs w:val="21"/>
              </w:rPr>
              <w:t>初级—中级</w:t>
            </w:r>
          </w:p>
        </w:tc>
        <w:tc>
          <w:tcPr>
            <w:tcW w:w="1824" w:type="dxa"/>
            <w:vAlign w:val="center"/>
          </w:tcPr>
          <w:p w14:paraId="2C1D6CB0">
            <w:pPr>
              <w:spacing w:after="0" w:line="240" w:lineRule="auto"/>
              <w:rPr>
                <w:rFonts w:hint="eastAsia" w:eastAsia="宋体"/>
                <w:b w:val="0"/>
                <w:bCs/>
                <w:sz w:val="21"/>
                <w:szCs w:val="21"/>
                <w:lang w:eastAsia="zh-CN"/>
              </w:rPr>
            </w:pPr>
            <w:r>
              <w:rPr>
                <w:rFonts w:ascii="宋体" w:hAnsi="宋体" w:eastAsia="宋体" w:cs="宋体"/>
                <w:b w:val="0"/>
                <w:bCs/>
                <w:sz w:val="21"/>
                <w:szCs w:val="21"/>
              </w:rPr>
              <w:t>合作式玩法为主；儿童协助完成任务；怀旧主题促进患者讲述往事</w:t>
            </w:r>
            <w:r>
              <w:rPr>
                <w:rFonts w:hint="eastAsia" w:cs="宋体"/>
                <w:b w:val="0"/>
                <w:bCs/>
                <w:sz w:val="21"/>
                <w:szCs w:val="21"/>
                <w:lang w:eastAsia="zh-CN"/>
              </w:rPr>
              <w:t>。</w:t>
            </w:r>
          </w:p>
        </w:tc>
      </w:tr>
      <w:tr w14:paraId="3C6CF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4" w:type="dxa"/>
            <w:vAlign w:val="center"/>
          </w:tcPr>
          <w:p w14:paraId="13094F9D">
            <w:pPr>
              <w:spacing w:after="0" w:line="240" w:lineRule="auto"/>
              <w:jc w:val="center"/>
              <w:rPr>
                <w:b w:val="0"/>
                <w:bCs/>
                <w:sz w:val="21"/>
                <w:szCs w:val="21"/>
              </w:rPr>
            </w:pPr>
            <w:r>
              <w:rPr>
                <w:rFonts w:ascii="宋体" w:hAnsi="宋体" w:eastAsia="宋体" w:cs="宋体"/>
                <w:b w:val="0"/>
                <w:bCs/>
                <w:sz w:val="21"/>
                <w:szCs w:val="21"/>
              </w:rPr>
              <w:t>重度痴呆</w:t>
            </w:r>
          </w:p>
        </w:tc>
        <w:tc>
          <w:tcPr>
            <w:tcW w:w="1824" w:type="dxa"/>
            <w:vAlign w:val="center"/>
          </w:tcPr>
          <w:p w14:paraId="55B2345C">
            <w:pPr>
              <w:spacing w:after="0" w:line="240" w:lineRule="auto"/>
              <w:rPr>
                <w:b w:val="0"/>
                <w:bCs/>
                <w:sz w:val="21"/>
                <w:szCs w:val="21"/>
              </w:rPr>
            </w:pPr>
            <w:r>
              <w:rPr>
                <w:rFonts w:ascii="宋体" w:hAnsi="宋体" w:eastAsia="宋体" w:cs="宋体"/>
                <w:b w:val="0"/>
                <w:bCs/>
                <w:sz w:val="21"/>
                <w:szCs w:val="21"/>
              </w:rPr>
              <w:t>语言严重受损、无自主生活能力、情绪波动大</w:t>
            </w:r>
          </w:p>
        </w:tc>
        <w:tc>
          <w:tcPr>
            <w:tcW w:w="2292" w:type="dxa"/>
            <w:vAlign w:val="center"/>
          </w:tcPr>
          <w:p w14:paraId="5AB1B110">
            <w:pPr>
              <w:spacing w:after="0" w:line="240" w:lineRule="auto"/>
              <w:rPr>
                <w:b w:val="0"/>
                <w:bCs/>
                <w:sz w:val="21"/>
                <w:szCs w:val="21"/>
              </w:rPr>
            </w:pPr>
            <w:r>
              <w:rPr>
                <w:rFonts w:hint="eastAsia" w:ascii="宋体" w:hAnsi="宋体" w:eastAsia="宋体" w:cs="宋体"/>
                <w:b w:val="0"/>
                <w:bCs/>
                <w:sz w:val="21"/>
                <w:szCs w:val="21"/>
              </w:rPr>
              <w:t>毛绒</w:t>
            </w:r>
            <w:r>
              <w:rPr>
                <w:rFonts w:ascii="宋体" w:hAnsi="宋体" w:eastAsia="宋体" w:cs="宋体"/>
                <w:b w:val="0"/>
                <w:bCs/>
                <w:sz w:val="21"/>
                <w:szCs w:val="21"/>
              </w:rPr>
              <w:t>安抚玩偶、发光柔软球、香氛触觉毯、简易乐器、</w:t>
            </w:r>
            <w:r>
              <w:rPr>
                <w:rFonts w:hint="eastAsia" w:ascii="宋体" w:hAnsi="宋体" w:cs="宋体"/>
                <w:b w:val="0"/>
                <w:bCs/>
                <w:sz w:val="21"/>
                <w:szCs w:val="21"/>
                <w:lang w:val="en-US" w:eastAsia="zh-CN"/>
              </w:rPr>
              <w:t>互动式</w:t>
            </w:r>
            <w:r>
              <w:rPr>
                <w:rFonts w:ascii="宋体" w:hAnsi="宋体" w:eastAsia="宋体" w:cs="宋体"/>
                <w:b w:val="0"/>
                <w:bCs/>
                <w:sz w:val="21"/>
                <w:szCs w:val="21"/>
              </w:rPr>
              <w:t>音乐盒</w:t>
            </w:r>
          </w:p>
        </w:tc>
        <w:tc>
          <w:tcPr>
            <w:tcW w:w="1356" w:type="dxa"/>
            <w:vAlign w:val="center"/>
          </w:tcPr>
          <w:p w14:paraId="05837C11">
            <w:pPr>
              <w:spacing w:after="0" w:line="240" w:lineRule="auto"/>
              <w:jc w:val="center"/>
              <w:rPr>
                <w:b w:val="0"/>
                <w:bCs/>
                <w:sz w:val="21"/>
                <w:szCs w:val="21"/>
              </w:rPr>
            </w:pPr>
            <w:r>
              <w:rPr>
                <w:rFonts w:ascii="宋体" w:hAnsi="宋体" w:eastAsia="宋体" w:cs="宋体"/>
                <w:b w:val="0"/>
                <w:bCs/>
                <w:sz w:val="21"/>
                <w:szCs w:val="21"/>
              </w:rPr>
              <w:t>无规则/感官级</w:t>
            </w:r>
          </w:p>
        </w:tc>
        <w:tc>
          <w:tcPr>
            <w:tcW w:w="1824" w:type="dxa"/>
            <w:vAlign w:val="center"/>
          </w:tcPr>
          <w:p w14:paraId="6D292B63">
            <w:pPr>
              <w:spacing w:after="0" w:line="240" w:lineRule="auto"/>
              <w:rPr>
                <w:rFonts w:hint="eastAsia" w:eastAsia="宋体"/>
                <w:b w:val="0"/>
                <w:bCs/>
                <w:sz w:val="21"/>
                <w:szCs w:val="21"/>
                <w:lang w:eastAsia="zh-CN"/>
              </w:rPr>
            </w:pPr>
            <w:r>
              <w:rPr>
                <w:rFonts w:ascii="宋体" w:hAnsi="宋体" w:eastAsia="宋体" w:cs="宋体"/>
                <w:b w:val="0"/>
                <w:bCs/>
                <w:sz w:val="21"/>
                <w:szCs w:val="21"/>
              </w:rPr>
              <w:t>非语言感官互动为主；儿童在照护者引导下进行轻柔肢体互动与音乐陪伴</w:t>
            </w:r>
            <w:r>
              <w:rPr>
                <w:rFonts w:hint="eastAsia" w:cs="宋体"/>
                <w:b w:val="0"/>
                <w:bCs/>
                <w:sz w:val="21"/>
                <w:szCs w:val="21"/>
                <w:lang w:eastAsia="zh-CN"/>
              </w:rPr>
              <w:t>。</w:t>
            </w:r>
          </w:p>
        </w:tc>
      </w:tr>
    </w:tbl>
    <w:p w14:paraId="1629C9BE">
      <w:pPr>
        <w:pStyle w:val="24"/>
        <w:numPr>
          <w:ilvl w:val="0"/>
          <w:numId w:val="0"/>
        </w:numPr>
      </w:pPr>
    </w:p>
    <w:p w14:paraId="28FF9F76">
      <w:pPr>
        <w:pStyle w:val="51"/>
        <w:spacing w:before="312" w:after="312"/>
      </w:pPr>
      <w:r>
        <w:t>玩具分类与功能</w:t>
      </w:r>
    </w:p>
    <w:p w14:paraId="60F5BA5A">
      <w:pPr>
        <w:pStyle w:val="50"/>
        <w:numPr>
          <w:ilvl w:val="1"/>
          <w:numId w:val="0"/>
        </w:numPr>
        <w:bidi w:val="0"/>
        <w:ind w:leftChars="0"/>
      </w:pPr>
      <w:r>
        <w:t>6.1　认知训练类</w:t>
      </w:r>
    </w:p>
    <w:p w14:paraId="711520B6">
      <w:pPr>
        <w:spacing w:line="240" w:lineRule="auto"/>
        <w:ind w:firstLine="420"/>
        <w:rPr>
          <w:b w:val="0"/>
          <w:bCs w:val="0"/>
          <w:sz w:val="21"/>
          <w:szCs w:val="21"/>
        </w:rPr>
      </w:pPr>
      <w:r>
        <w:rPr>
          <w:rFonts w:ascii="宋体" w:hAnsi="宋体" w:eastAsia="宋体" w:cs="宋体"/>
          <w:b w:val="0"/>
          <w:bCs w:val="0"/>
          <w:sz w:val="21"/>
          <w:szCs w:val="21"/>
        </w:rPr>
        <w:t>认知训练类玩具依据认知功能的不同维度，可分为复合性注意、执行功能、学习和记忆、言语语言、知觉—运动功能、社会认知六个子类。各子类的适配要点如下。</w:t>
      </w:r>
    </w:p>
    <w:p w14:paraId="74E23FE8">
      <w:pPr>
        <w:rPr>
          <w:b w:val="0"/>
          <w:bCs w:val="0"/>
          <w:sz w:val="21"/>
          <w:szCs w:val="21"/>
        </w:rPr>
      </w:pPr>
      <w:r>
        <w:rPr>
          <w:rFonts w:ascii="黑体" w:hAnsi="黑体" w:eastAsia="黑体" w:cs="黑体"/>
          <w:b w:val="0"/>
          <w:bCs w:val="0"/>
          <w:sz w:val="21"/>
          <w:szCs w:val="21"/>
        </w:rPr>
        <w:t>6.1.1　复合性注意训练玩具</w:t>
      </w:r>
    </w:p>
    <w:p w14:paraId="3834F4DC">
      <w:pPr>
        <w:spacing w:line="240" w:lineRule="auto"/>
        <w:ind w:firstLine="420"/>
        <w:rPr>
          <w:b w:val="0"/>
          <w:bCs w:val="0"/>
          <w:sz w:val="21"/>
          <w:szCs w:val="21"/>
        </w:rPr>
      </w:pPr>
      <w:r>
        <w:rPr>
          <w:rFonts w:ascii="宋体" w:hAnsi="宋体" w:eastAsia="宋体" w:cs="宋体"/>
          <w:b w:val="0"/>
          <w:bCs w:val="0"/>
          <w:sz w:val="21"/>
          <w:szCs w:val="21"/>
        </w:rPr>
        <w:t>用于提升持续注意力、选择性注意力和分配性注意力的玩具，包括找不同、追踪迷宫、视觉搜索板、双任务反应器等。适配要点：</w:t>
      </w:r>
    </w:p>
    <w:p w14:paraId="573D050A">
      <w:pPr>
        <w:spacing w:line="240" w:lineRule="auto"/>
        <w:ind w:firstLine="420"/>
        <w:rPr>
          <w:b w:val="0"/>
          <w:bCs w:val="0"/>
          <w:sz w:val="21"/>
          <w:szCs w:val="21"/>
        </w:rPr>
      </w:pPr>
      <w:r>
        <w:rPr>
          <w:rFonts w:ascii="宋体" w:hAnsi="宋体" w:eastAsia="宋体" w:cs="宋体"/>
          <w:b w:val="0"/>
          <w:bCs w:val="0"/>
          <w:sz w:val="21"/>
          <w:szCs w:val="21"/>
        </w:rPr>
        <w:t>a）目标元素与背景宜有高对比度区分，对比度不低于7:1；</w:t>
      </w:r>
    </w:p>
    <w:p w14:paraId="3F161DEB">
      <w:pPr>
        <w:spacing w:line="240" w:lineRule="auto"/>
        <w:ind w:firstLine="420"/>
        <w:rPr>
          <w:b w:val="0"/>
          <w:bCs w:val="0"/>
          <w:sz w:val="21"/>
          <w:szCs w:val="21"/>
        </w:rPr>
      </w:pPr>
      <w:r>
        <w:rPr>
          <w:rFonts w:ascii="宋体" w:hAnsi="宋体" w:eastAsia="宋体" w:cs="宋体"/>
          <w:b w:val="0"/>
          <w:bCs w:val="0"/>
          <w:sz w:val="21"/>
          <w:szCs w:val="21"/>
        </w:rPr>
        <w:t>b）干扰项数量宜可调节，从少到多渐进增加；</w:t>
      </w:r>
    </w:p>
    <w:p w14:paraId="2FFDFB1C">
      <w:pPr>
        <w:spacing w:line="240" w:lineRule="auto"/>
        <w:ind w:firstLine="420"/>
        <w:rPr>
          <w:b w:val="0"/>
          <w:bCs w:val="0"/>
          <w:sz w:val="21"/>
          <w:szCs w:val="21"/>
        </w:rPr>
      </w:pPr>
      <w:r>
        <w:rPr>
          <w:rFonts w:ascii="宋体" w:hAnsi="宋体" w:eastAsia="宋体" w:cs="宋体"/>
          <w:b w:val="0"/>
          <w:bCs w:val="0"/>
          <w:sz w:val="21"/>
          <w:szCs w:val="21"/>
        </w:rPr>
        <w:t>c）单次任务时长建议5—15分钟，避免疲劳；</w:t>
      </w:r>
    </w:p>
    <w:p w14:paraId="083A88CA">
      <w:pPr>
        <w:spacing w:line="240" w:lineRule="auto"/>
        <w:ind w:firstLine="420"/>
        <w:rPr>
          <w:b w:val="0"/>
          <w:bCs w:val="0"/>
          <w:sz w:val="21"/>
          <w:szCs w:val="21"/>
        </w:rPr>
      </w:pPr>
      <w:r>
        <w:rPr>
          <w:rFonts w:ascii="宋体" w:hAnsi="宋体" w:eastAsia="宋体" w:cs="宋体"/>
          <w:b w:val="0"/>
          <w:bCs w:val="0"/>
          <w:sz w:val="21"/>
          <w:szCs w:val="21"/>
        </w:rPr>
        <w:t>d）智能版本宜记录反应时间和正确率，生成注意力趋势报告；</w:t>
      </w:r>
    </w:p>
    <w:p w14:paraId="4FB31402">
      <w:pPr>
        <w:spacing w:line="240" w:lineRule="auto"/>
        <w:ind w:firstLine="420"/>
        <w:rPr>
          <w:b w:val="0"/>
          <w:bCs w:val="0"/>
          <w:sz w:val="21"/>
          <w:szCs w:val="21"/>
        </w:rPr>
      </w:pPr>
      <w:r>
        <w:rPr>
          <w:rFonts w:ascii="宋体" w:hAnsi="宋体" w:eastAsia="宋体" w:cs="宋体"/>
          <w:b w:val="0"/>
          <w:bCs w:val="0"/>
          <w:sz w:val="21"/>
          <w:szCs w:val="21"/>
        </w:rPr>
        <w:t>e）双任务训练玩具宜支持各任务难度独立调节，以适应不同注意容量；</w:t>
      </w:r>
    </w:p>
    <w:p w14:paraId="1621FD10">
      <w:pPr>
        <w:spacing w:line="240" w:lineRule="auto"/>
        <w:ind w:firstLine="420"/>
        <w:rPr>
          <w:b w:val="0"/>
          <w:bCs w:val="0"/>
          <w:sz w:val="21"/>
          <w:szCs w:val="21"/>
        </w:rPr>
      </w:pPr>
      <w:r>
        <w:rPr>
          <w:rFonts w:ascii="宋体" w:hAnsi="宋体" w:eastAsia="宋体" w:cs="宋体"/>
          <w:b w:val="0"/>
          <w:bCs w:val="0"/>
          <w:sz w:val="21"/>
          <w:szCs w:val="21"/>
        </w:rPr>
        <w:t>f）代际共玩时，可采用竞赛式或合作式视觉搜索游戏，由儿童与患者共同寻找目标。</w:t>
      </w:r>
    </w:p>
    <w:p w14:paraId="4FC9E698">
      <w:pPr>
        <w:rPr>
          <w:b w:val="0"/>
          <w:bCs w:val="0"/>
          <w:sz w:val="21"/>
          <w:szCs w:val="21"/>
        </w:rPr>
      </w:pPr>
      <w:r>
        <w:rPr>
          <w:rFonts w:ascii="黑体" w:hAnsi="黑体" w:eastAsia="黑体" w:cs="黑体"/>
          <w:b w:val="0"/>
          <w:bCs w:val="0"/>
          <w:sz w:val="21"/>
          <w:szCs w:val="21"/>
        </w:rPr>
        <w:t>6.1.2　执行功能训练玩具</w:t>
      </w:r>
    </w:p>
    <w:p w14:paraId="40D42106">
      <w:pPr>
        <w:spacing w:line="240" w:lineRule="auto"/>
        <w:ind w:firstLine="420"/>
        <w:rPr>
          <w:b w:val="0"/>
          <w:bCs w:val="0"/>
          <w:sz w:val="21"/>
          <w:szCs w:val="21"/>
        </w:rPr>
      </w:pPr>
      <w:r>
        <w:rPr>
          <w:rFonts w:ascii="宋体" w:hAnsi="宋体" w:eastAsia="宋体" w:cs="宋体"/>
          <w:b w:val="0"/>
          <w:bCs w:val="0"/>
          <w:sz w:val="21"/>
          <w:szCs w:val="21"/>
        </w:rPr>
        <w:t>用于训练计划、决策、抑制控制和认知灵活性的玩具，包括策略棋类、排序分类游戏、多步骤任务盒、规则转换卡等。适配要点：</w:t>
      </w:r>
    </w:p>
    <w:p w14:paraId="38F6428F">
      <w:pPr>
        <w:spacing w:line="240" w:lineRule="auto"/>
        <w:ind w:firstLine="420"/>
        <w:rPr>
          <w:b w:val="0"/>
          <w:bCs w:val="0"/>
          <w:sz w:val="21"/>
          <w:szCs w:val="21"/>
        </w:rPr>
      </w:pPr>
      <w:r>
        <w:rPr>
          <w:rFonts w:ascii="宋体" w:hAnsi="宋体" w:eastAsia="宋体" w:cs="宋体"/>
          <w:b w:val="0"/>
          <w:bCs w:val="0"/>
          <w:sz w:val="21"/>
          <w:szCs w:val="21"/>
        </w:rPr>
        <w:t>a）规则说明宜图文并茂，语言简洁，必要时提供语音讲解；</w:t>
      </w:r>
    </w:p>
    <w:p w14:paraId="75527828">
      <w:pPr>
        <w:spacing w:line="240" w:lineRule="auto"/>
        <w:ind w:firstLine="420"/>
        <w:rPr>
          <w:b w:val="0"/>
          <w:bCs w:val="0"/>
          <w:sz w:val="21"/>
          <w:szCs w:val="21"/>
        </w:rPr>
      </w:pPr>
      <w:r>
        <w:rPr>
          <w:rFonts w:ascii="宋体" w:hAnsi="宋体" w:eastAsia="宋体" w:cs="宋体"/>
          <w:b w:val="0"/>
          <w:bCs w:val="0"/>
          <w:sz w:val="21"/>
          <w:szCs w:val="21"/>
        </w:rPr>
        <w:t>b）任务步骤宜可分解，支持分步引导；</w:t>
      </w:r>
    </w:p>
    <w:p w14:paraId="4288F16C">
      <w:pPr>
        <w:spacing w:line="240" w:lineRule="auto"/>
        <w:ind w:firstLine="420"/>
        <w:rPr>
          <w:b w:val="0"/>
          <w:bCs w:val="0"/>
          <w:sz w:val="21"/>
          <w:szCs w:val="21"/>
        </w:rPr>
      </w:pPr>
      <w:r>
        <w:rPr>
          <w:rFonts w:ascii="宋体" w:hAnsi="宋体" w:eastAsia="宋体" w:cs="宋体"/>
          <w:b w:val="0"/>
          <w:bCs w:val="0"/>
          <w:sz w:val="21"/>
          <w:szCs w:val="21"/>
        </w:rPr>
        <w:t>c）智能版本宜提供提示系统，从强提示逐步过渡到弱提示；</w:t>
      </w:r>
    </w:p>
    <w:p w14:paraId="239F7773">
      <w:pPr>
        <w:spacing w:line="240" w:lineRule="auto"/>
        <w:ind w:firstLine="420"/>
        <w:rPr>
          <w:b w:val="0"/>
          <w:bCs w:val="0"/>
          <w:sz w:val="21"/>
          <w:szCs w:val="21"/>
        </w:rPr>
      </w:pPr>
      <w:r>
        <w:rPr>
          <w:rFonts w:ascii="宋体" w:hAnsi="宋体" w:eastAsia="宋体" w:cs="宋体"/>
          <w:b w:val="0"/>
          <w:bCs w:val="0"/>
          <w:sz w:val="21"/>
          <w:szCs w:val="21"/>
        </w:rPr>
        <w:t>d）宜包含成功完成的明确信号，增强自我效能感；</w:t>
      </w:r>
    </w:p>
    <w:p w14:paraId="0781E653">
      <w:pPr>
        <w:spacing w:line="240" w:lineRule="auto"/>
        <w:ind w:firstLine="420"/>
        <w:rPr>
          <w:b w:val="0"/>
          <w:bCs w:val="0"/>
          <w:sz w:val="21"/>
          <w:szCs w:val="21"/>
        </w:rPr>
      </w:pPr>
      <w:r>
        <w:rPr>
          <w:rFonts w:ascii="宋体" w:hAnsi="宋体" w:eastAsia="宋体" w:cs="宋体"/>
          <w:b w:val="0"/>
          <w:bCs w:val="0"/>
          <w:sz w:val="21"/>
          <w:szCs w:val="21"/>
        </w:rPr>
        <w:t>e）规则转换类玩具宜提供清晰的规则切换提示；</w:t>
      </w:r>
    </w:p>
    <w:p w14:paraId="45559601">
      <w:pPr>
        <w:spacing w:line="240" w:lineRule="auto"/>
        <w:ind w:firstLine="420"/>
        <w:rPr>
          <w:b w:val="0"/>
          <w:bCs w:val="0"/>
          <w:sz w:val="21"/>
          <w:szCs w:val="21"/>
        </w:rPr>
      </w:pPr>
      <w:r>
        <w:rPr>
          <w:rFonts w:ascii="宋体" w:hAnsi="宋体" w:eastAsia="宋体" w:cs="宋体"/>
          <w:b w:val="0"/>
          <w:bCs w:val="0"/>
          <w:sz w:val="21"/>
          <w:szCs w:val="21"/>
        </w:rPr>
        <w:t>f）代际共玩时，可采用</w:t>
      </w:r>
      <w:r>
        <w:rPr>
          <w:rFonts w:hint="eastAsia" w:cs="宋体"/>
          <w:b w:val="0"/>
          <w:bCs w:val="0"/>
          <w:sz w:val="21"/>
          <w:szCs w:val="21"/>
          <w:lang w:eastAsia="zh-CN"/>
        </w:rPr>
        <w:t>“</w:t>
      </w:r>
      <w:r>
        <w:rPr>
          <w:rFonts w:ascii="宋体" w:hAnsi="宋体" w:eastAsia="宋体" w:cs="宋体"/>
          <w:b w:val="0"/>
          <w:bCs w:val="0"/>
          <w:sz w:val="21"/>
          <w:szCs w:val="21"/>
        </w:rPr>
        <w:t>轮流决策</w:t>
      </w:r>
      <w:r>
        <w:rPr>
          <w:rFonts w:hint="eastAsia" w:cs="宋体"/>
          <w:b w:val="0"/>
          <w:bCs w:val="0"/>
          <w:sz w:val="21"/>
          <w:szCs w:val="21"/>
          <w:lang w:eastAsia="zh-CN"/>
        </w:rPr>
        <w:t>”</w:t>
      </w:r>
      <w:r>
        <w:rPr>
          <w:rFonts w:ascii="宋体" w:hAnsi="宋体" w:eastAsia="宋体" w:cs="宋体"/>
          <w:b w:val="0"/>
          <w:bCs w:val="0"/>
          <w:sz w:val="21"/>
          <w:szCs w:val="21"/>
        </w:rPr>
        <w:t>模式，由儿童与患者交替做出选择。</w:t>
      </w:r>
    </w:p>
    <w:p w14:paraId="02729A1B">
      <w:pPr>
        <w:rPr>
          <w:b w:val="0"/>
          <w:bCs w:val="0"/>
          <w:sz w:val="21"/>
          <w:szCs w:val="21"/>
        </w:rPr>
      </w:pPr>
      <w:r>
        <w:rPr>
          <w:rFonts w:ascii="黑体" w:hAnsi="黑体" w:eastAsia="黑体" w:cs="黑体"/>
          <w:b w:val="0"/>
          <w:bCs w:val="0"/>
          <w:sz w:val="21"/>
          <w:szCs w:val="21"/>
        </w:rPr>
        <w:t>6.1.3　学习和记忆训练玩具</w:t>
      </w:r>
    </w:p>
    <w:p w14:paraId="6CCCC85A">
      <w:pPr>
        <w:spacing w:line="240" w:lineRule="auto"/>
        <w:ind w:firstLine="420"/>
        <w:rPr>
          <w:b w:val="0"/>
          <w:bCs w:val="0"/>
          <w:sz w:val="21"/>
          <w:szCs w:val="21"/>
        </w:rPr>
      </w:pPr>
      <w:r>
        <w:rPr>
          <w:rFonts w:ascii="宋体" w:hAnsi="宋体" w:eastAsia="宋体" w:cs="宋体"/>
          <w:b w:val="0"/>
          <w:bCs w:val="0"/>
          <w:sz w:val="21"/>
          <w:szCs w:val="21"/>
        </w:rPr>
        <w:t>用于锻炼工作记忆、近期记忆和远期记忆的玩具，包括记忆翻牌、图片回忆游戏、数字序列训练器、故事复述卡等。适配要点：</w:t>
      </w:r>
    </w:p>
    <w:p w14:paraId="5EA2C2E4">
      <w:pPr>
        <w:spacing w:line="240" w:lineRule="auto"/>
        <w:ind w:firstLine="420"/>
        <w:rPr>
          <w:b w:val="0"/>
          <w:bCs w:val="0"/>
          <w:sz w:val="21"/>
          <w:szCs w:val="21"/>
        </w:rPr>
      </w:pPr>
      <w:r>
        <w:rPr>
          <w:rFonts w:ascii="宋体" w:hAnsi="宋体" w:eastAsia="宋体" w:cs="宋体"/>
          <w:b w:val="0"/>
          <w:bCs w:val="0"/>
          <w:sz w:val="21"/>
          <w:szCs w:val="21"/>
        </w:rPr>
        <w:t>a）卡片/图块尺寸宜不小于50 mm×50 mm，便于抓握和辨识；</w:t>
      </w:r>
    </w:p>
    <w:p w14:paraId="627EFCB6">
      <w:pPr>
        <w:spacing w:line="240" w:lineRule="auto"/>
        <w:ind w:firstLine="420"/>
        <w:rPr>
          <w:b w:val="0"/>
          <w:bCs w:val="0"/>
          <w:sz w:val="21"/>
          <w:szCs w:val="21"/>
        </w:rPr>
      </w:pPr>
      <w:r>
        <w:rPr>
          <w:rFonts w:ascii="宋体" w:hAnsi="宋体" w:eastAsia="宋体" w:cs="宋体"/>
          <w:b w:val="0"/>
          <w:bCs w:val="0"/>
          <w:sz w:val="21"/>
          <w:szCs w:val="21"/>
        </w:rPr>
        <w:t>b）图案宜清晰、色彩鲜明，对比度不低于7:1；</w:t>
      </w:r>
    </w:p>
    <w:p w14:paraId="71FF35F5">
      <w:pPr>
        <w:spacing w:line="240" w:lineRule="auto"/>
        <w:ind w:firstLine="420"/>
        <w:rPr>
          <w:b w:val="0"/>
          <w:bCs w:val="0"/>
          <w:sz w:val="21"/>
          <w:szCs w:val="21"/>
        </w:rPr>
      </w:pPr>
      <w:r>
        <w:rPr>
          <w:rFonts w:ascii="宋体" w:hAnsi="宋体" w:eastAsia="宋体" w:cs="宋体"/>
          <w:b w:val="0"/>
          <w:bCs w:val="0"/>
          <w:sz w:val="21"/>
          <w:szCs w:val="21"/>
        </w:rPr>
        <w:t>c）智能版本宜支持难度渐进（从3对到20对可调节）；</w:t>
      </w:r>
    </w:p>
    <w:p w14:paraId="1A4695EC">
      <w:pPr>
        <w:spacing w:line="240" w:lineRule="auto"/>
        <w:ind w:firstLine="420"/>
        <w:rPr>
          <w:b w:val="0"/>
          <w:bCs w:val="0"/>
          <w:sz w:val="21"/>
          <w:szCs w:val="21"/>
        </w:rPr>
      </w:pPr>
      <w:r>
        <w:rPr>
          <w:rFonts w:ascii="宋体" w:hAnsi="宋体" w:eastAsia="宋体" w:cs="宋体"/>
          <w:b w:val="0"/>
          <w:bCs w:val="0"/>
          <w:sz w:val="21"/>
          <w:szCs w:val="21"/>
        </w:rPr>
        <w:t>d）宜提供即时正反馈（如声音、灯光），增强成就感和持续参与意愿；</w:t>
      </w:r>
    </w:p>
    <w:p w14:paraId="773ACC9F">
      <w:pPr>
        <w:spacing w:line="240" w:lineRule="auto"/>
        <w:ind w:firstLine="420"/>
        <w:rPr>
          <w:b w:val="0"/>
          <w:bCs w:val="0"/>
          <w:sz w:val="21"/>
          <w:szCs w:val="21"/>
        </w:rPr>
      </w:pPr>
      <w:r>
        <w:rPr>
          <w:rFonts w:ascii="宋体" w:hAnsi="宋体" w:eastAsia="宋体" w:cs="宋体"/>
          <w:b w:val="0"/>
          <w:bCs w:val="0"/>
          <w:sz w:val="21"/>
          <w:szCs w:val="21"/>
        </w:rPr>
        <w:t>e）远期记忆训练玩具宜选用患者青年时期熟悉的文化元素，激发情感联结；</w:t>
      </w:r>
    </w:p>
    <w:p w14:paraId="259288BD">
      <w:pPr>
        <w:spacing w:line="240" w:lineRule="auto"/>
        <w:ind w:firstLine="420"/>
        <w:rPr>
          <w:b w:val="0"/>
          <w:bCs w:val="0"/>
          <w:sz w:val="21"/>
          <w:szCs w:val="21"/>
        </w:rPr>
      </w:pPr>
      <w:r>
        <w:rPr>
          <w:rFonts w:ascii="宋体" w:hAnsi="宋体" w:eastAsia="宋体" w:cs="宋体"/>
          <w:b w:val="0"/>
          <w:bCs w:val="0"/>
          <w:sz w:val="21"/>
          <w:szCs w:val="21"/>
        </w:rPr>
        <w:t>f）代际共玩时，可采用</w:t>
      </w:r>
      <w:r>
        <w:rPr>
          <w:rFonts w:hint="eastAsia" w:cs="宋体"/>
          <w:b w:val="0"/>
          <w:bCs w:val="0"/>
          <w:sz w:val="21"/>
          <w:szCs w:val="21"/>
          <w:lang w:eastAsia="zh-CN"/>
        </w:rPr>
        <w:t>“</w:t>
      </w:r>
      <w:r>
        <w:rPr>
          <w:rFonts w:ascii="宋体" w:hAnsi="宋体" w:eastAsia="宋体" w:cs="宋体"/>
          <w:b w:val="0"/>
          <w:bCs w:val="0"/>
          <w:sz w:val="21"/>
          <w:szCs w:val="21"/>
        </w:rPr>
        <w:t>你问我答</w:t>
      </w:r>
      <w:r>
        <w:rPr>
          <w:rFonts w:hint="eastAsia" w:cs="宋体"/>
          <w:b w:val="0"/>
          <w:bCs w:val="0"/>
          <w:sz w:val="21"/>
          <w:szCs w:val="21"/>
          <w:lang w:eastAsia="zh-CN"/>
        </w:rPr>
        <w:t>”</w:t>
      </w:r>
      <w:r>
        <w:rPr>
          <w:rFonts w:ascii="宋体" w:hAnsi="宋体" w:eastAsia="宋体" w:cs="宋体"/>
          <w:b w:val="0"/>
          <w:bCs w:val="0"/>
          <w:sz w:val="21"/>
          <w:szCs w:val="21"/>
        </w:rPr>
        <w:t>模式，将患者的个人经历编入记忆游戏素材。</w:t>
      </w:r>
    </w:p>
    <w:p w14:paraId="58F08F9F">
      <w:pPr>
        <w:rPr>
          <w:b w:val="0"/>
          <w:bCs w:val="0"/>
          <w:sz w:val="21"/>
          <w:szCs w:val="21"/>
        </w:rPr>
      </w:pPr>
      <w:r>
        <w:rPr>
          <w:rFonts w:ascii="黑体" w:hAnsi="黑体" w:eastAsia="黑体" w:cs="黑体"/>
          <w:b w:val="0"/>
          <w:bCs w:val="0"/>
          <w:sz w:val="21"/>
          <w:szCs w:val="21"/>
        </w:rPr>
        <w:t>6.1.4　言语语言训练玩具</w:t>
      </w:r>
    </w:p>
    <w:p w14:paraId="680E0879">
      <w:pPr>
        <w:spacing w:line="240" w:lineRule="auto"/>
        <w:ind w:firstLine="420"/>
        <w:rPr>
          <w:b w:val="0"/>
          <w:bCs w:val="0"/>
          <w:sz w:val="21"/>
          <w:szCs w:val="21"/>
        </w:rPr>
      </w:pPr>
      <w:r>
        <w:rPr>
          <w:rFonts w:ascii="宋体" w:hAnsi="宋体" w:eastAsia="宋体" w:cs="宋体"/>
          <w:b w:val="0"/>
          <w:bCs w:val="0"/>
          <w:sz w:val="21"/>
          <w:szCs w:val="21"/>
        </w:rPr>
        <w:t>用于维持和改善语言表达、理解和命名能力的玩具，包括词语接龙卡、看图说话板、故事拼图、韵律儿歌卡等。适配要点：</w:t>
      </w:r>
    </w:p>
    <w:p w14:paraId="2F87AC1D">
      <w:pPr>
        <w:spacing w:line="240" w:lineRule="auto"/>
        <w:ind w:firstLine="420"/>
        <w:rPr>
          <w:b w:val="0"/>
          <w:bCs w:val="0"/>
          <w:sz w:val="21"/>
          <w:szCs w:val="21"/>
        </w:rPr>
      </w:pPr>
      <w:r>
        <w:rPr>
          <w:rFonts w:ascii="宋体" w:hAnsi="宋体" w:eastAsia="宋体" w:cs="宋体"/>
          <w:b w:val="0"/>
          <w:bCs w:val="0"/>
          <w:sz w:val="21"/>
          <w:szCs w:val="21"/>
        </w:rPr>
        <w:t>a）字体大小宜不小于18 pt，推荐使用楷体或黑体等易读字体；</w:t>
      </w:r>
    </w:p>
    <w:p w14:paraId="3AB50CA0">
      <w:pPr>
        <w:spacing w:line="240" w:lineRule="auto"/>
        <w:ind w:firstLine="420"/>
        <w:rPr>
          <w:b w:val="0"/>
          <w:bCs w:val="0"/>
          <w:sz w:val="21"/>
          <w:szCs w:val="21"/>
        </w:rPr>
      </w:pPr>
      <w:r>
        <w:rPr>
          <w:rFonts w:ascii="宋体" w:hAnsi="宋体" w:eastAsia="宋体" w:cs="宋体"/>
          <w:b w:val="0"/>
          <w:bCs w:val="0"/>
          <w:sz w:val="21"/>
          <w:szCs w:val="21"/>
        </w:rPr>
        <w:t>b）图片宜写实、清晰，避免抽象卡通风格；</w:t>
      </w:r>
    </w:p>
    <w:p w14:paraId="328EAB3F">
      <w:pPr>
        <w:spacing w:line="240" w:lineRule="auto"/>
        <w:ind w:firstLine="420"/>
        <w:rPr>
          <w:b w:val="0"/>
          <w:bCs w:val="0"/>
          <w:sz w:val="21"/>
          <w:szCs w:val="21"/>
        </w:rPr>
      </w:pPr>
      <w:r>
        <w:rPr>
          <w:rFonts w:ascii="宋体" w:hAnsi="宋体" w:eastAsia="宋体" w:cs="宋体"/>
          <w:b w:val="0"/>
          <w:bCs w:val="0"/>
          <w:sz w:val="21"/>
          <w:szCs w:val="21"/>
        </w:rPr>
        <w:t>c）智能版本宜支持语音识别交互，允许用户用方言或口语化表达；</w:t>
      </w:r>
    </w:p>
    <w:p w14:paraId="44AC0FA5">
      <w:pPr>
        <w:spacing w:line="240" w:lineRule="auto"/>
        <w:ind w:firstLine="420"/>
        <w:rPr>
          <w:b w:val="0"/>
          <w:bCs w:val="0"/>
          <w:sz w:val="21"/>
          <w:szCs w:val="21"/>
        </w:rPr>
      </w:pPr>
      <w:r>
        <w:rPr>
          <w:rFonts w:ascii="宋体" w:hAnsi="宋体" w:eastAsia="宋体" w:cs="宋体"/>
          <w:b w:val="0"/>
          <w:bCs w:val="0"/>
          <w:sz w:val="21"/>
          <w:szCs w:val="21"/>
        </w:rPr>
        <w:t>d）宜提供开放式和封闭式问题两种模式，适应不同语言能力水平；</w:t>
      </w:r>
    </w:p>
    <w:p w14:paraId="71BB3ADC">
      <w:pPr>
        <w:spacing w:line="240" w:lineRule="auto"/>
        <w:ind w:firstLine="420"/>
        <w:rPr>
          <w:b w:val="0"/>
          <w:bCs w:val="0"/>
          <w:sz w:val="21"/>
          <w:szCs w:val="21"/>
        </w:rPr>
      </w:pPr>
      <w:r>
        <w:rPr>
          <w:rFonts w:ascii="宋体" w:hAnsi="宋体" w:eastAsia="宋体" w:cs="宋体"/>
          <w:b w:val="0"/>
          <w:bCs w:val="0"/>
          <w:sz w:val="21"/>
          <w:szCs w:val="21"/>
        </w:rPr>
        <w:t>e）韵律类玩具宜结合节奏和韵律，利用自动化语言通道促进语言输出；</w:t>
      </w:r>
    </w:p>
    <w:p w14:paraId="533AE907">
      <w:pPr>
        <w:spacing w:line="240" w:lineRule="auto"/>
        <w:ind w:firstLine="420"/>
        <w:rPr>
          <w:b w:val="0"/>
          <w:bCs w:val="0"/>
          <w:sz w:val="21"/>
          <w:szCs w:val="21"/>
        </w:rPr>
      </w:pPr>
      <w:r>
        <w:rPr>
          <w:rFonts w:ascii="宋体" w:hAnsi="宋体" w:eastAsia="宋体" w:cs="宋体"/>
          <w:b w:val="0"/>
          <w:bCs w:val="0"/>
          <w:sz w:val="21"/>
          <w:szCs w:val="21"/>
        </w:rPr>
        <w:t>f）代际共玩时，可由儿童朗读、患者复述或共同完成故事接龙。</w:t>
      </w:r>
    </w:p>
    <w:p w14:paraId="343FFF3D">
      <w:pPr>
        <w:rPr>
          <w:b w:val="0"/>
          <w:bCs w:val="0"/>
          <w:sz w:val="21"/>
          <w:szCs w:val="21"/>
        </w:rPr>
      </w:pPr>
      <w:r>
        <w:rPr>
          <w:rFonts w:ascii="黑体" w:hAnsi="黑体" w:eastAsia="黑体" w:cs="黑体"/>
          <w:b w:val="0"/>
          <w:bCs w:val="0"/>
          <w:sz w:val="21"/>
          <w:szCs w:val="21"/>
        </w:rPr>
        <w:t>6.1.5　知觉—运动功能训练玩具</w:t>
      </w:r>
    </w:p>
    <w:p w14:paraId="5117CCE1">
      <w:pPr>
        <w:spacing w:line="240" w:lineRule="auto"/>
        <w:ind w:firstLine="420"/>
        <w:rPr>
          <w:b w:val="0"/>
          <w:bCs w:val="0"/>
          <w:sz w:val="21"/>
          <w:szCs w:val="21"/>
        </w:rPr>
      </w:pPr>
      <w:r>
        <w:rPr>
          <w:rFonts w:ascii="宋体" w:hAnsi="宋体" w:eastAsia="宋体" w:cs="宋体"/>
          <w:b w:val="0"/>
          <w:bCs w:val="0"/>
          <w:sz w:val="21"/>
          <w:szCs w:val="21"/>
        </w:rPr>
        <w:t>用于训练空间定向、图形识别、手眼协调和精细动作的玩具，包括立体拼图、积木搭建、形状分类盒、穿绳玩具、轨迹追踪板等。适配要点：</w:t>
      </w:r>
    </w:p>
    <w:p w14:paraId="56B26C84">
      <w:pPr>
        <w:spacing w:line="240" w:lineRule="auto"/>
        <w:ind w:firstLine="420"/>
        <w:rPr>
          <w:b w:val="0"/>
          <w:bCs w:val="0"/>
          <w:sz w:val="21"/>
          <w:szCs w:val="21"/>
        </w:rPr>
      </w:pPr>
      <w:r>
        <w:rPr>
          <w:rFonts w:ascii="宋体" w:hAnsi="宋体" w:eastAsia="宋体" w:cs="宋体"/>
          <w:b w:val="0"/>
          <w:bCs w:val="0"/>
          <w:sz w:val="21"/>
          <w:szCs w:val="21"/>
        </w:rPr>
        <w:t>a）积木/拼块尺寸宜足够大（单边不小于30 mm），防止误吞；</w:t>
      </w:r>
    </w:p>
    <w:p w14:paraId="1B1E879C">
      <w:pPr>
        <w:spacing w:line="240" w:lineRule="auto"/>
        <w:ind w:firstLine="420"/>
        <w:rPr>
          <w:b w:val="0"/>
          <w:bCs w:val="0"/>
          <w:sz w:val="21"/>
          <w:szCs w:val="21"/>
        </w:rPr>
      </w:pPr>
      <w:r>
        <w:rPr>
          <w:rFonts w:ascii="宋体" w:hAnsi="宋体" w:eastAsia="宋体" w:cs="宋体"/>
          <w:b w:val="0"/>
          <w:bCs w:val="0"/>
          <w:sz w:val="21"/>
          <w:szCs w:val="21"/>
        </w:rPr>
        <w:t>b）不同形状宜采用不同颜色区分；</w:t>
      </w:r>
    </w:p>
    <w:p w14:paraId="5C4C2679">
      <w:pPr>
        <w:spacing w:line="240" w:lineRule="auto"/>
        <w:ind w:firstLine="420"/>
        <w:rPr>
          <w:b w:val="0"/>
          <w:bCs w:val="0"/>
          <w:sz w:val="21"/>
          <w:szCs w:val="21"/>
        </w:rPr>
      </w:pPr>
      <w:r>
        <w:rPr>
          <w:rFonts w:ascii="宋体" w:hAnsi="宋体" w:eastAsia="宋体" w:cs="宋体"/>
          <w:b w:val="0"/>
          <w:bCs w:val="0"/>
          <w:sz w:val="21"/>
          <w:szCs w:val="21"/>
        </w:rPr>
        <w:t>c）拼接力度宜适中，过大或过小均会产生挫败感；</w:t>
      </w:r>
    </w:p>
    <w:p w14:paraId="55B07B36">
      <w:pPr>
        <w:spacing w:line="240" w:lineRule="auto"/>
        <w:ind w:firstLine="420"/>
        <w:rPr>
          <w:b w:val="0"/>
          <w:bCs w:val="0"/>
          <w:sz w:val="21"/>
          <w:szCs w:val="21"/>
        </w:rPr>
      </w:pPr>
      <w:r>
        <w:rPr>
          <w:rFonts w:ascii="宋体" w:hAnsi="宋体" w:eastAsia="宋体" w:cs="宋体"/>
          <w:b w:val="0"/>
          <w:bCs w:val="0"/>
          <w:sz w:val="21"/>
          <w:szCs w:val="21"/>
        </w:rPr>
        <w:t>d）智能版本可提供AR增强现实辅助，在实物基础上叠加虚拟引导；</w:t>
      </w:r>
    </w:p>
    <w:p w14:paraId="2BD40CF7">
      <w:pPr>
        <w:spacing w:line="240" w:lineRule="auto"/>
        <w:ind w:firstLine="420"/>
        <w:rPr>
          <w:b w:val="0"/>
          <w:bCs w:val="0"/>
          <w:sz w:val="21"/>
          <w:szCs w:val="21"/>
        </w:rPr>
      </w:pPr>
      <w:r>
        <w:rPr>
          <w:rFonts w:ascii="宋体" w:hAnsi="宋体" w:eastAsia="宋体" w:cs="宋体"/>
          <w:b w:val="0"/>
          <w:bCs w:val="0"/>
          <w:sz w:val="21"/>
          <w:szCs w:val="21"/>
        </w:rPr>
        <w:t>e）精细动作训练玩具宜提供不同孔径/阻力等级，支持由粗到细的渐进训练；</w:t>
      </w:r>
    </w:p>
    <w:p w14:paraId="249550F4">
      <w:pPr>
        <w:spacing w:line="240" w:lineRule="auto"/>
        <w:ind w:firstLine="420"/>
        <w:rPr>
          <w:b w:val="0"/>
          <w:bCs w:val="0"/>
          <w:sz w:val="21"/>
          <w:szCs w:val="21"/>
        </w:rPr>
      </w:pPr>
      <w:r>
        <w:rPr>
          <w:rFonts w:ascii="宋体" w:hAnsi="宋体" w:eastAsia="宋体" w:cs="宋体"/>
          <w:b w:val="0"/>
          <w:bCs w:val="0"/>
          <w:sz w:val="21"/>
          <w:szCs w:val="21"/>
        </w:rPr>
        <w:t>f）代际共玩时，可采用</w:t>
      </w:r>
      <w:r>
        <w:rPr>
          <w:rFonts w:hint="eastAsia" w:cs="宋体"/>
          <w:b w:val="0"/>
          <w:bCs w:val="0"/>
          <w:sz w:val="21"/>
          <w:szCs w:val="21"/>
          <w:lang w:eastAsia="zh-CN"/>
        </w:rPr>
        <w:t>“</w:t>
      </w:r>
      <w:r>
        <w:rPr>
          <w:rFonts w:ascii="宋体" w:hAnsi="宋体" w:eastAsia="宋体" w:cs="宋体"/>
          <w:b w:val="0"/>
          <w:bCs w:val="0"/>
          <w:sz w:val="21"/>
          <w:szCs w:val="21"/>
        </w:rPr>
        <w:t>共建</w:t>
      </w:r>
      <w:r>
        <w:rPr>
          <w:rFonts w:hint="eastAsia" w:cs="宋体"/>
          <w:b w:val="0"/>
          <w:bCs w:val="0"/>
          <w:sz w:val="21"/>
          <w:szCs w:val="21"/>
          <w:lang w:eastAsia="zh-CN"/>
        </w:rPr>
        <w:t>”</w:t>
      </w:r>
      <w:r>
        <w:rPr>
          <w:rFonts w:ascii="宋体" w:hAnsi="宋体" w:eastAsia="宋体" w:cs="宋体"/>
          <w:b w:val="0"/>
          <w:bCs w:val="0"/>
          <w:sz w:val="21"/>
          <w:szCs w:val="21"/>
        </w:rPr>
        <w:t>模式，由儿童与患者共同搭建积木或完成拼图。</w:t>
      </w:r>
    </w:p>
    <w:p w14:paraId="55EECE89">
      <w:pPr>
        <w:rPr>
          <w:b w:val="0"/>
          <w:bCs w:val="0"/>
          <w:sz w:val="21"/>
          <w:szCs w:val="21"/>
        </w:rPr>
      </w:pPr>
      <w:r>
        <w:rPr>
          <w:rFonts w:ascii="黑体" w:hAnsi="黑体" w:eastAsia="黑体" w:cs="黑体"/>
          <w:b w:val="0"/>
          <w:bCs w:val="0"/>
          <w:sz w:val="21"/>
          <w:szCs w:val="21"/>
        </w:rPr>
        <w:t>6.1.6　社会认知训练玩具</w:t>
      </w:r>
    </w:p>
    <w:p w14:paraId="79821A03">
      <w:pPr>
        <w:spacing w:line="240" w:lineRule="auto"/>
        <w:ind w:firstLine="420"/>
        <w:rPr>
          <w:b w:val="0"/>
          <w:bCs w:val="0"/>
          <w:sz w:val="21"/>
          <w:szCs w:val="21"/>
        </w:rPr>
      </w:pPr>
      <w:r>
        <w:rPr>
          <w:rFonts w:ascii="宋体" w:hAnsi="宋体" w:eastAsia="宋体" w:cs="宋体"/>
          <w:b w:val="0"/>
          <w:bCs w:val="0"/>
          <w:sz w:val="21"/>
          <w:szCs w:val="21"/>
        </w:rPr>
        <w:t>用于训练情绪识别、观点采择、社会规则理解和人际互动的玩具，包括情绪表情卡、情景角色扮演道具、合作任务盒、社交故事书等。适配要点：</w:t>
      </w:r>
    </w:p>
    <w:p w14:paraId="1A06BC6D">
      <w:pPr>
        <w:spacing w:line="240" w:lineRule="auto"/>
        <w:ind w:firstLine="420"/>
        <w:rPr>
          <w:b w:val="0"/>
          <w:bCs w:val="0"/>
          <w:sz w:val="21"/>
          <w:szCs w:val="21"/>
        </w:rPr>
      </w:pPr>
      <w:r>
        <w:rPr>
          <w:rFonts w:ascii="宋体" w:hAnsi="宋体" w:eastAsia="宋体" w:cs="宋体"/>
          <w:b w:val="0"/>
          <w:bCs w:val="0"/>
          <w:sz w:val="21"/>
          <w:szCs w:val="21"/>
        </w:rPr>
        <w:t>a）情绪表情卡宜采用真实人脸照片，表情特征典型、易于辨识；</w:t>
      </w:r>
    </w:p>
    <w:p w14:paraId="2224CA3D">
      <w:pPr>
        <w:spacing w:line="240" w:lineRule="auto"/>
        <w:ind w:firstLine="420"/>
        <w:rPr>
          <w:b w:val="0"/>
          <w:bCs w:val="0"/>
          <w:sz w:val="21"/>
          <w:szCs w:val="21"/>
        </w:rPr>
      </w:pPr>
      <w:r>
        <w:rPr>
          <w:rFonts w:ascii="宋体" w:hAnsi="宋体" w:eastAsia="宋体" w:cs="宋体"/>
          <w:b w:val="0"/>
          <w:bCs w:val="0"/>
          <w:sz w:val="21"/>
          <w:szCs w:val="21"/>
        </w:rPr>
        <w:t>b）情景角色扮演道具宜贴近日常生活场景（如购物、待客、就医），便于患者迁移运用；</w:t>
      </w:r>
    </w:p>
    <w:p w14:paraId="212B2DFE">
      <w:pPr>
        <w:spacing w:line="240" w:lineRule="auto"/>
        <w:ind w:firstLine="420"/>
        <w:rPr>
          <w:b w:val="0"/>
          <w:bCs w:val="0"/>
          <w:sz w:val="21"/>
          <w:szCs w:val="21"/>
        </w:rPr>
      </w:pPr>
      <w:r>
        <w:rPr>
          <w:rFonts w:ascii="宋体" w:hAnsi="宋体" w:eastAsia="宋体" w:cs="宋体"/>
          <w:b w:val="0"/>
          <w:bCs w:val="0"/>
          <w:sz w:val="21"/>
          <w:szCs w:val="21"/>
        </w:rPr>
        <w:t>c）合作任务盒宜设计为必须两人以上协作才能完成的结构，天然促进互动；</w:t>
      </w:r>
    </w:p>
    <w:p w14:paraId="756A1F9F">
      <w:pPr>
        <w:spacing w:line="240" w:lineRule="auto"/>
        <w:ind w:firstLine="420"/>
        <w:rPr>
          <w:b w:val="0"/>
          <w:bCs w:val="0"/>
          <w:sz w:val="21"/>
          <w:szCs w:val="21"/>
        </w:rPr>
      </w:pPr>
      <w:r>
        <w:rPr>
          <w:rFonts w:ascii="宋体" w:hAnsi="宋体" w:eastAsia="宋体" w:cs="宋体"/>
          <w:b w:val="0"/>
          <w:bCs w:val="0"/>
          <w:sz w:val="21"/>
          <w:szCs w:val="21"/>
        </w:rPr>
        <w:t>d）智能版本可提供虚拟社交场景模拟，支持患者在多轮对话中练习社交技能；</w:t>
      </w:r>
    </w:p>
    <w:p w14:paraId="2617A27A">
      <w:pPr>
        <w:spacing w:line="240" w:lineRule="auto"/>
        <w:ind w:firstLine="420"/>
        <w:rPr>
          <w:b w:val="0"/>
          <w:bCs w:val="0"/>
          <w:sz w:val="21"/>
          <w:szCs w:val="21"/>
        </w:rPr>
      </w:pPr>
      <w:r>
        <w:rPr>
          <w:rFonts w:ascii="宋体" w:hAnsi="宋体" w:eastAsia="宋体" w:cs="宋体"/>
          <w:b w:val="0"/>
          <w:bCs w:val="0"/>
          <w:sz w:val="21"/>
          <w:szCs w:val="21"/>
        </w:rPr>
        <w:t>e）宜设置情绪反馈环节，引导患者识别自己和他人的情绪状态；</w:t>
      </w:r>
    </w:p>
    <w:p w14:paraId="3E8D17E9">
      <w:pPr>
        <w:spacing w:line="240" w:lineRule="auto"/>
        <w:ind w:firstLine="420"/>
        <w:rPr>
          <w:b w:val="0"/>
          <w:bCs w:val="0"/>
          <w:sz w:val="21"/>
          <w:szCs w:val="21"/>
        </w:rPr>
      </w:pPr>
      <w:r>
        <w:rPr>
          <w:rFonts w:ascii="宋体" w:hAnsi="宋体" w:eastAsia="宋体" w:cs="宋体"/>
          <w:b w:val="0"/>
          <w:bCs w:val="0"/>
          <w:sz w:val="21"/>
          <w:szCs w:val="21"/>
        </w:rPr>
        <w:t>f）代际共玩时，可由儿童与患者分别扮演不同角色，练习社交礼仪和情绪表达。</w:t>
      </w:r>
    </w:p>
    <w:p w14:paraId="59D35909">
      <w:pPr>
        <w:pStyle w:val="50"/>
        <w:numPr>
          <w:ilvl w:val="1"/>
          <w:numId w:val="0"/>
        </w:numPr>
        <w:bidi w:val="0"/>
        <w:ind w:leftChars="0"/>
      </w:pPr>
      <w:r>
        <w:t>6.</w:t>
      </w:r>
      <w:r>
        <w:rPr>
          <w:rFonts w:hint="eastAsia"/>
          <w:lang w:val="en-US" w:eastAsia="zh-CN"/>
        </w:rPr>
        <w:t>2</w:t>
      </w:r>
      <w:r>
        <w:t>　运动功能类</w:t>
      </w:r>
    </w:p>
    <w:p w14:paraId="5F440760">
      <w:pPr>
        <w:spacing w:line="240" w:lineRule="auto"/>
        <w:ind w:firstLine="420"/>
        <w:rPr>
          <w:b w:val="0"/>
          <w:bCs w:val="0"/>
          <w:sz w:val="21"/>
          <w:szCs w:val="21"/>
        </w:rPr>
      </w:pPr>
      <w:r>
        <w:rPr>
          <w:rFonts w:ascii="宋体" w:hAnsi="宋体" w:eastAsia="宋体" w:cs="宋体"/>
          <w:b w:val="0"/>
          <w:bCs w:val="0"/>
          <w:sz w:val="21"/>
          <w:szCs w:val="21"/>
        </w:rPr>
        <w:t>用于改善精细动作、粗大动作和平衡能力的玩具，包括手部训练球、桌面冰壶、弹力对战棋、体感互动游戏等。适配要点：</w:t>
      </w:r>
    </w:p>
    <w:p w14:paraId="4922E949">
      <w:pPr>
        <w:spacing w:line="240" w:lineRule="auto"/>
        <w:ind w:firstLine="420"/>
        <w:rPr>
          <w:b w:val="0"/>
          <w:bCs w:val="0"/>
          <w:sz w:val="21"/>
          <w:szCs w:val="21"/>
        </w:rPr>
      </w:pPr>
      <w:r>
        <w:rPr>
          <w:rFonts w:ascii="宋体" w:hAnsi="宋体" w:eastAsia="宋体" w:cs="宋体"/>
          <w:b w:val="0"/>
          <w:bCs w:val="0"/>
          <w:sz w:val="21"/>
          <w:szCs w:val="21"/>
        </w:rPr>
        <w:t>a）握持部件直径宜不小于40 mm，表面有防滑纹理；</w:t>
      </w:r>
    </w:p>
    <w:p w14:paraId="7A1B532E">
      <w:pPr>
        <w:spacing w:line="240" w:lineRule="auto"/>
        <w:ind w:firstLine="420"/>
        <w:rPr>
          <w:b w:val="0"/>
          <w:bCs w:val="0"/>
          <w:sz w:val="21"/>
          <w:szCs w:val="21"/>
        </w:rPr>
      </w:pPr>
      <w:r>
        <w:rPr>
          <w:rFonts w:ascii="宋体" w:hAnsi="宋体" w:eastAsia="宋体" w:cs="宋体"/>
          <w:b w:val="0"/>
          <w:bCs w:val="0"/>
          <w:sz w:val="21"/>
          <w:szCs w:val="21"/>
        </w:rPr>
        <w:t>b）重量宜控制在50 g—200 g之间，避免腕部负担过重；</w:t>
      </w:r>
    </w:p>
    <w:p w14:paraId="5C428AF9">
      <w:pPr>
        <w:spacing w:line="240" w:lineRule="auto"/>
        <w:ind w:firstLine="420"/>
        <w:rPr>
          <w:b w:val="0"/>
          <w:bCs w:val="0"/>
          <w:sz w:val="21"/>
          <w:szCs w:val="21"/>
        </w:rPr>
      </w:pPr>
      <w:r>
        <w:rPr>
          <w:rFonts w:ascii="宋体" w:hAnsi="宋体" w:eastAsia="宋体" w:cs="宋体"/>
          <w:b w:val="0"/>
          <w:bCs w:val="0"/>
          <w:sz w:val="21"/>
          <w:szCs w:val="21"/>
        </w:rPr>
        <w:t>c）运动幅度宜可调节，适应不同肢体活动能力；</w:t>
      </w:r>
    </w:p>
    <w:p w14:paraId="042238DB">
      <w:pPr>
        <w:spacing w:line="240" w:lineRule="auto"/>
        <w:ind w:firstLine="420"/>
        <w:rPr>
          <w:b w:val="0"/>
          <w:bCs w:val="0"/>
          <w:sz w:val="21"/>
          <w:szCs w:val="21"/>
        </w:rPr>
      </w:pPr>
      <w:r>
        <w:rPr>
          <w:rFonts w:ascii="宋体" w:hAnsi="宋体" w:eastAsia="宋体" w:cs="宋体"/>
          <w:b w:val="0"/>
          <w:bCs w:val="0"/>
          <w:sz w:val="21"/>
          <w:szCs w:val="21"/>
        </w:rPr>
        <w:t>d）避免快速弹射类部件，防止误伤自身或他人；</w:t>
      </w:r>
    </w:p>
    <w:p w14:paraId="2B109CD2">
      <w:pPr>
        <w:spacing w:line="240" w:lineRule="auto"/>
        <w:ind w:firstLine="420"/>
        <w:rPr>
          <w:b w:val="0"/>
          <w:bCs w:val="0"/>
          <w:sz w:val="21"/>
          <w:szCs w:val="21"/>
        </w:rPr>
      </w:pPr>
      <w:r>
        <w:rPr>
          <w:rFonts w:ascii="宋体" w:hAnsi="宋体" w:eastAsia="宋体" w:cs="宋体"/>
          <w:b w:val="0"/>
          <w:bCs w:val="0"/>
          <w:sz w:val="21"/>
          <w:szCs w:val="21"/>
        </w:rPr>
        <w:t>e）智能版本宜可记录运动数据（如握力变化、反应速度），为康复训练提供参考。</w:t>
      </w:r>
    </w:p>
    <w:p w14:paraId="2377AFFC">
      <w:pPr>
        <w:pStyle w:val="50"/>
        <w:numPr>
          <w:ilvl w:val="1"/>
          <w:numId w:val="0"/>
        </w:numPr>
        <w:bidi w:val="0"/>
        <w:ind w:leftChars="0"/>
      </w:pPr>
      <w:r>
        <w:t>6.</w:t>
      </w:r>
      <w:r>
        <w:rPr>
          <w:rFonts w:hint="eastAsia"/>
          <w:lang w:val="en-US" w:eastAsia="zh-CN"/>
        </w:rPr>
        <w:t>3</w:t>
      </w:r>
      <w:r>
        <w:t>　情感陪伴类</w:t>
      </w:r>
    </w:p>
    <w:p w14:paraId="11170D07">
      <w:pPr>
        <w:spacing w:line="240" w:lineRule="auto"/>
        <w:ind w:firstLine="420"/>
        <w:rPr>
          <w:b w:val="0"/>
          <w:bCs w:val="0"/>
          <w:sz w:val="21"/>
          <w:szCs w:val="21"/>
        </w:rPr>
      </w:pPr>
      <w:r>
        <w:rPr>
          <w:rFonts w:ascii="宋体" w:hAnsi="宋体" w:eastAsia="宋体" w:cs="宋体"/>
          <w:b w:val="0"/>
          <w:bCs w:val="0"/>
          <w:sz w:val="21"/>
          <w:szCs w:val="21"/>
        </w:rPr>
        <w:t>用于提供情感支持、减少焦虑和孤独感的玩具，包括交互式毛绒玩具、仿真婴儿娃娃、智能陪伴机器人等。适配要点：</w:t>
      </w:r>
    </w:p>
    <w:p w14:paraId="02AC75AB">
      <w:pPr>
        <w:spacing w:line="240" w:lineRule="auto"/>
        <w:ind w:firstLine="420"/>
        <w:rPr>
          <w:b w:val="0"/>
          <w:bCs w:val="0"/>
          <w:sz w:val="21"/>
          <w:szCs w:val="21"/>
        </w:rPr>
      </w:pPr>
      <w:r>
        <w:rPr>
          <w:rFonts w:ascii="宋体" w:hAnsi="宋体" w:eastAsia="宋体" w:cs="宋体"/>
          <w:b w:val="0"/>
          <w:bCs w:val="0"/>
          <w:sz w:val="21"/>
          <w:szCs w:val="21"/>
        </w:rPr>
        <w:t>a）外观宜亲切温暖，避免恐怖或怪异造型；</w:t>
      </w:r>
    </w:p>
    <w:p w14:paraId="165EB3CB">
      <w:pPr>
        <w:spacing w:line="240" w:lineRule="auto"/>
        <w:ind w:firstLine="420"/>
        <w:rPr>
          <w:b w:val="0"/>
          <w:bCs w:val="0"/>
          <w:sz w:val="21"/>
          <w:szCs w:val="21"/>
        </w:rPr>
      </w:pPr>
      <w:r>
        <w:rPr>
          <w:rFonts w:ascii="宋体" w:hAnsi="宋体" w:eastAsia="宋体" w:cs="宋体"/>
          <w:b w:val="0"/>
          <w:bCs w:val="0"/>
          <w:sz w:val="21"/>
          <w:szCs w:val="21"/>
        </w:rPr>
        <w:t>b）材质宜亲肤柔软，可机洗或擦拭清洁；</w:t>
      </w:r>
    </w:p>
    <w:p w14:paraId="6396817A">
      <w:pPr>
        <w:spacing w:line="240" w:lineRule="auto"/>
        <w:ind w:firstLine="420"/>
        <w:rPr>
          <w:b w:val="0"/>
          <w:bCs w:val="0"/>
          <w:sz w:val="21"/>
          <w:szCs w:val="21"/>
        </w:rPr>
      </w:pPr>
      <w:r>
        <w:rPr>
          <w:rFonts w:ascii="宋体" w:hAnsi="宋体" w:eastAsia="宋体" w:cs="宋体"/>
          <w:b w:val="0"/>
          <w:bCs w:val="0"/>
          <w:sz w:val="21"/>
          <w:szCs w:val="21"/>
        </w:rPr>
        <w:t>c）交互式玩具的语音内容宜积极正面，语速缓慢（不超过120字/分钟）；</w:t>
      </w:r>
    </w:p>
    <w:p w14:paraId="34C6D924">
      <w:pPr>
        <w:spacing w:line="240" w:lineRule="auto"/>
        <w:ind w:firstLine="420"/>
        <w:rPr>
          <w:b w:val="0"/>
          <w:bCs w:val="0"/>
          <w:sz w:val="21"/>
          <w:szCs w:val="21"/>
        </w:rPr>
      </w:pPr>
      <w:r>
        <w:rPr>
          <w:rFonts w:ascii="宋体" w:hAnsi="宋体" w:eastAsia="宋体" w:cs="宋体"/>
          <w:b w:val="0"/>
          <w:bCs w:val="0"/>
          <w:sz w:val="21"/>
          <w:szCs w:val="21"/>
        </w:rPr>
        <w:t>d）智能陪伴机器人宜具备紧急呼叫功能，在检测到跌倒或长时间无活动时自动通知照护者；</w:t>
      </w:r>
    </w:p>
    <w:p w14:paraId="593A85CA">
      <w:pPr>
        <w:spacing w:line="240" w:lineRule="auto"/>
        <w:ind w:firstLine="420"/>
        <w:rPr>
          <w:b w:val="0"/>
          <w:bCs w:val="0"/>
          <w:sz w:val="21"/>
          <w:szCs w:val="21"/>
        </w:rPr>
      </w:pPr>
      <w:r>
        <w:rPr>
          <w:rFonts w:ascii="宋体" w:hAnsi="宋体" w:eastAsia="宋体" w:cs="宋体"/>
          <w:b w:val="0"/>
          <w:bCs w:val="0"/>
          <w:sz w:val="21"/>
          <w:szCs w:val="21"/>
        </w:rPr>
        <w:t>e）不替代人际互动，宜作为照护者互动的辅助工具。</w:t>
      </w:r>
    </w:p>
    <w:p w14:paraId="59A6BB7B">
      <w:pPr>
        <w:pStyle w:val="50"/>
        <w:numPr>
          <w:ilvl w:val="1"/>
          <w:numId w:val="0"/>
        </w:numPr>
        <w:bidi w:val="0"/>
        <w:ind w:leftChars="0"/>
      </w:pPr>
      <w:r>
        <w:t>6.</w:t>
      </w:r>
      <w:r>
        <w:rPr>
          <w:rFonts w:hint="eastAsia"/>
          <w:lang w:val="en-US" w:eastAsia="zh-CN"/>
        </w:rPr>
        <w:t>4</w:t>
      </w:r>
      <w:r>
        <w:t>　怀旧触发类</w:t>
      </w:r>
    </w:p>
    <w:p w14:paraId="5270F523">
      <w:pPr>
        <w:spacing w:line="240" w:lineRule="auto"/>
        <w:ind w:firstLine="420"/>
        <w:rPr>
          <w:b w:val="0"/>
          <w:bCs w:val="0"/>
          <w:sz w:val="21"/>
          <w:szCs w:val="21"/>
        </w:rPr>
      </w:pPr>
      <w:r>
        <w:rPr>
          <w:rFonts w:ascii="宋体" w:hAnsi="宋体" w:eastAsia="宋体" w:cs="宋体"/>
          <w:b w:val="0"/>
          <w:bCs w:val="0"/>
          <w:sz w:val="21"/>
          <w:szCs w:val="21"/>
        </w:rPr>
        <w:t>用于唤起积极记忆、促进怀旧疗法应用的玩具，包括老歌点唱机、经典电影片段播放器、传统手工工具包（编织、折纸）、复古主题拼图等。适配要点：</w:t>
      </w:r>
    </w:p>
    <w:p w14:paraId="33B7F378">
      <w:pPr>
        <w:spacing w:line="240" w:lineRule="auto"/>
        <w:ind w:firstLine="420"/>
        <w:rPr>
          <w:b w:val="0"/>
          <w:bCs w:val="0"/>
          <w:sz w:val="21"/>
          <w:szCs w:val="21"/>
        </w:rPr>
      </w:pPr>
      <w:r>
        <w:rPr>
          <w:rFonts w:ascii="宋体" w:hAnsi="宋体" w:eastAsia="宋体" w:cs="宋体"/>
          <w:b w:val="0"/>
          <w:bCs w:val="0"/>
          <w:sz w:val="21"/>
          <w:szCs w:val="21"/>
        </w:rPr>
        <w:t>a）内容宜贴合目标用户群的时代背景（如50后、60后群体宜选用20世纪60—80年代元素）；</w:t>
      </w:r>
    </w:p>
    <w:p w14:paraId="226B7A2C">
      <w:pPr>
        <w:spacing w:line="240" w:lineRule="auto"/>
        <w:ind w:firstLine="420"/>
        <w:rPr>
          <w:b w:val="0"/>
          <w:bCs w:val="0"/>
          <w:sz w:val="21"/>
          <w:szCs w:val="21"/>
        </w:rPr>
      </w:pPr>
      <w:r>
        <w:rPr>
          <w:rFonts w:ascii="宋体" w:hAnsi="宋体" w:eastAsia="宋体" w:cs="宋体"/>
          <w:b w:val="0"/>
          <w:bCs w:val="0"/>
          <w:sz w:val="21"/>
          <w:szCs w:val="21"/>
        </w:rPr>
        <w:t>b）音乐播放宜支持暂停、上一曲/下一曲等大字按钮操作；</w:t>
      </w:r>
    </w:p>
    <w:p w14:paraId="06E3453F">
      <w:pPr>
        <w:spacing w:line="240" w:lineRule="auto"/>
        <w:ind w:firstLine="420"/>
        <w:rPr>
          <w:b w:val="0"/>
          <w:bCs w:val="0"/>
          <w:sz w:val="21"/>
          <w:szCs w:val="21"/>
        </w:rPr>
      </w:pPr>
      <w:r>
        <w:rPr>
          <w:rFonts w:ascii="宋体" w:hAnsi="宋体" w:eastAsia="宋体" w:cs="宋体"/>
          <w:b w:val="0"/>
          <w:bCs w:val="0"/>
          <w:sz w:val="21"/>
          <w:szCs w:val="21"/>
        </w:rPr>
        <w:t>c）手工材料宜安全无毒，边缘圆滑；</w:t>
      </w:r>
    </w:p>
    <w:p w14:paraId="7D886A1B">
      <w:pPr>
        <w:spacing w:line="240" w:lineRule="auto"/>
        <w:ind w:firstLine="420"/>
        <w:rPr>
          <w:b w:val="0"/>
          <w:bCs w:val="0"/>
          <w:sz w:val="21"/>
          <w:szCs w:val="21"/>
        </w:rPr>
      </w:pPr>
      <w:r>
        <w:rPr>
          <w:rFonts w:ascii="宋体" w:hAnsi="宋体" w:eastAsia="宋体" w:cs="宋体"/>
          <w:b w:val="0"/>
          <w:bCs w:val="0"/>
          <w:sz w:val="21"/>
          <w:szCs w:val="21"/>
        </w:rPr>
        <w:t>d）智能版本可支持个性化内容导入（如家庭照片、熟悉旋律），增强情感联结。</w:t>
      </w:r>
    </w:p>
    <w:p w14:paraId="72ECAF1B">
      <w:pPr>
        <w:pStyle w:val="50"/>
        <w:numPr>
          <w:ilvl w:val="1"/>
          <w:numId w:val="0"/>
        </w:numPr>
        <w:bidi w:val="0"/>
        <w:ind w:leftChars="0"/>
      </w:pPr>
      <w:r>
        <w:t>6.</w:t>
      </w:r>
      <w:r>
        <w:rPr>
          <w:rFonts w:hint="eastAsia"/>
          <w:lang w:val="en-US" w:eastAsia="zh-CN"/>
        </w:rPr>
        <w:t>5</w:t>
      </w:r>
      <w:r>
        <w:t>　社交互动类</w:t>
      </w:r>
    </w:p>
    <w:p w14:paraId="088538A7">
      <w:pPr>
        <w:spacing w:line="240" w:lineRule="auto"/>
        <w:ind w:firstLine="420"/>
        <w:rPr>
          <w:b w:val="0"/>
          <w:bCs w:val="0"/>
          <w:sz w:val="21"/>
          <w:szCs w:val="21"/>
        </w:rPr>
      </w:pPr>
      <w:r>
        <w:rPr>
          <w:rFonts w:ascii="宋体" w:hAnsi="宋体" w:eastAsia="宋体" w:cs="宋体"/>
          <w:b w:val="0"/>
          <w:bCs w:val="0"/>
          <w:sz w:val="21"/>
          <w:szCs w:val="21"/>
        </w:rPr>
        <w:t>用于促进多人互动、增强社会参与的玩具，包括合作型桌游、团体节奏乐器、多人拼图垫、互动投影游戏等。适配要点：</w:t>
      </w:r>
    </w:p>
    <w:p w14:paraId="07C39A3E">
      <w:pPr>
        <w:spacing w:line="240" w:lineRule="auto"/>
        <w:ind w:firstLine="420"/>
        <w:rPr>
          <w:b w:val="0"/>
          <w:bCs w:val="0"/>
          <w:sz w:val="21"/>
          <w:szCs w:val="21"/>
        </w:rPr>
      </w:pPr>
      <w:r>
        <w:rPr>
          <w:rFonts w:ascii="宋体" w:hAnsi="宋体" w:eastAsia="宋体" w:cs="宋体"/>
          <w:b w:val="0"/>
          <w:bCs w:val="0"/>
          <w:sz w:val="21"/>
          <w:szCs w:val="21"/>
        </w:rPr>
        <w:t>a）规则宜简单易懂，5分钟内可完成讲解；</w:t>
      </w:r>
    </w:p>
    <w:p w14:paraId="0FB5B083">
      <w:pPr>
        <w:spacing w:line="240" w:lineRule="auto"/>
        <w:ind w:firstLine="420"/>
        <w:rPr>
          <w:b w:val="0"/>
          <w:bCs w:val="0"/>
          <w:sz w:val="21"/>
          <w:szCs w:val="21"/>
        </w:rPr>
      </w:pPr>
      <w:r>
        <w:rPr>
          <w:rFonts w:ascii="宋体" w:hAnsi="宋体" w:eastAsia="宋体" w:cs="宋体"/>
          <w:b w:val="0"/>
          <w:bCs w:val="0"/>
          <w:sz w:val="21"/>
          <w:szCs w:val="21"/>
        </w:rPr>
        <w:t>b）参与人数宜为2—6人，避免过度拥挤造成焦虑；</w:t>
      </w:r>
    </w:p>
    <w:p w14:paraId="726DE48D">
      <w:pPr>
        <w:spacing w:line="240" w:lineRule="auto"/>
        <w:ind w:firstLine="420"/>
        <w:rPr>
          <w:b w:val="0"/>
          <w:bCs w:val="0"/>
          <w:sz w:val="21"/>
          <w:szCs w:val="21"/>
        </w:rPr>
      </w:pPr>
      <w:r>
        <w:rPr>
          <w:rFonts w:ascii="宋体" w:hAnsi="宋体" w:eastAsia="宋体" w:cs="宋体"/>
          <w:b w:val="0"/>
          <w:bCs w:val="0"/>
          <w:sz w:val="21"/>
          <w:szCs w:val="21"/>
        </w:rPr>
        <w:t>c）强调合作而非竞争，避免输赢带来的挫败感；</w:t>
      </w:r>
    </w:p>
    <w:p w14:paraId="422903F5">
      <w:pPr>
        <w:spacing w:line="240" w:lineRule="auto"/>
        <w:ind w:firstLine="420"/>
        <w:rPr>
          <w:b w:val="0"/>
          <w:bCs w:val="0"/>
          <w:sz w:val="21"/>
          <w:szCs w:val="21"/>
        </w:rPr>
      </w:pPr>
      <w:r>
        <w:rPr>
          <w:rFonts w:ascii="宋体" w:hAnsi="宋体" w:eastAsia="宋体" w:cs="宋体"/>
          <w:b w:val="0"/>
          <w:bCs w:val="0"/>
          <w:sz w:val="21"/>
          <w:szCs w:val="21"/>
        </w:rPr>
        <w:t>d）宜适配不同能力水平的参与者，支持</w:t>
      </w:r>
      <w:r>
        <w:rPr>
          <w:rFonts w:hint="eastAsia" w:cs="宋体"/>
          <w:b w:val="0"/>
          <w:bCs w:val="0"/>
          <w:sz w:val="21"/>
          <w:szCs w:val="21"/>
          <w:lang w:eastAsia="zh-CN"/>
        </w:rPr>
        <w:t>“</w:t>
      </w:r>
      <w:r>
        <w:rPr>
          <w:rFonts w:ascii="宋体" w:hAnsi="宋体" w:eastAsia="宋体" w:cs="宋体"/>
          <w:b w:val="0"/>
          <w:bCs w:val="0"/>
          <w:sz w:val="21"/>
          <w:szCs w:val="21"/>
        </w:rPr>
        <w:t>强弱搭配</w:t>
      </w:r>
      <w:r>
        <w:rPr>
          <w:rFonts w:hint="eastAsia" w:cs="宋体"/>
          <w:b w:val="0"/>
          <w:bCs w:val="0"/>
          <w:sz w:val="21"/>
          <w:szCs w:val="21"/>
          <w:lang w:eastAsia="zh-CN"/>
        </w:rPr>
        <w:t>”</w:t>
      </w:r>
      <w:r>
        <w:rPr>
          <w:rFonts w:ascii="宋体" w:hAnsi="宋体" w:eastAsia="宋体" w:cs="宋体"/>
          <w:b w:val="0"/>
          <w:bCs w:val="0"/>
          <w:sz w:val="21"/>
          <w:szCs w:val="21"/>
        </w:rPr>
        <w:t>模式。</w:t>
      </w:r>
    </w:p>
    <w:p w14:paraId="4DFE5257">
      <w:pPr>
        <w:spacing w:line="240" w:lineRule="auto"/>
        <w:ind w:firstLine="420"/>
        <w:rPr>
          <w:rFonts w:ascii="宋体" w:hAnsi="宋体" w:eastAsia="宋体" w:cs="宋体"/>
          <w:b w:val="0"/>
          <w:bCs w:val="0"/>
          <w:sz w:val="21"/>
          <w:szCs w:val="21"/>
        </w:rPr>
      </w:pPr>
      <w:r>
        <w:rPr>
          <w:rFonts w:ascii="宋体" w:hAnsi="宋体" w:eastAsia="宋体" w:cs="宋体"/>
          <w:b w:val="0"/>
          <w:bCs w:val="0"/>
          <w:sz w:val="21"/>
          <w:szCs w:val="21"/>
        </w:rPr>
        <w:t>注：开展代际共玩活动时，优先选用社交互动类、怀旧触发类玩具。</w:t>
      </w:r>
    </w:p>
    <w:p w14:paraId="55D0E09E">
      <w:pPr>
        <w:keepNext w:val="0"/>
        <w:keepLines w:val="0"/>
        <w:pageBreakBefore w:val="0"/>
        <w:widowControl/>
        <w:kinsoku/>
        <w:wordWrap/>
        <w:overflowPunct/>
        <w:topLinePunct w:val="0"/>
        <w:autoSpaceDE/>
        <w:autoSpaceDN/>
        <w:bidi w:val="0"/>
        <w:adjustRightInd/>
        <w:snapToGrid/>
        <w:ind w:firstLine="420" w:firstLineChars="200"/>
        <w:textAlignment w:val="auto"/>
        <w:rPr>
          <w:rFonts w:ascii="宋体" w:hAnsi="宋体" w:eastAsia="宋体" w:cs="宋体"/>
          <w:b w:val="0"/>
          <w:bCs w:val="0"/>
          <w:sz w:val="21"/>
          <w:szCs w:val="21"/>
        </w:rPr>
      </w:pPr>
      <w:r>
        <w:rPr>
          <w:rFonts w:hint="eastAsia" w:cs="宋体"/>
          <w:b w:val="0"/>
          <w:bCs w:val="0"/>
          <w:sz w:val="21"/>
          <w:szCs w:val="21"/>
          <w:lang w:val="en-US" w:eastAsia="zh-CN"/>
        </w:rPr>
        <w:t>表2为</w:t>
      </w:r>
      <w:r>
        <w:rPr>
          <w:rFonts w:ascii="宋体" w:hAnsi="宋体" w:eastAsia="宋体" w:cs="宋体"/>
          <w:b w:val="0"/>
          <w:bCs w:val="0"/>
          <w:sz w:val="21"/>
          <w:szCs w:val="21"/>
        </w:rPr>
        <w:t>乐龄玩具分类与功能的汇总信息，涵盖核心功能、典型产品与适用分期</w:t>
      </w:r>
      <w:r>
        <w:rPr>
          <w:rFonts w:hint="eastAsia" w:cs="宋体"/>
          <w:b w:val="0"/>
          <w:bCs w:val="0"/>
          <w:sz w:val="21"/>
          <w:szCs w:val="21"/>
          <w:lang w:eastAsia="zh-CN"/>
        </w:rPr>
        <w:t>，</w:t>
      </w:r>
      <w:r>
        <w:rPr>
          <w:rFonts w:hint="eastAsia" w:cs="宋体"/>
          <w:b w:val="0"/>
          <w:bCs w:val="0"/>
          <w:sz w:val="21"/>
          <w:szCs w:val="21"/>
          <w:lang w:val="en-US" w:eastAsia="zh-CN"/>
        </w:rPr>
        <w:t>方便</w:t>
      </w:r>
      <w:r>
        <w:rPr>
          <w:rFonts w:ascii="宋体" w:hAnsi="宋体" w:eastAsia="宋体" w:cs="宋体"/>
          <w:b w:val="0"/>
          <w:bCs w:val="0"/>
          <w:sz w:val="21"/>
          <w:szCs w:val="21"/>
        </w:rPr>
        <w:t>快速查阅参考。</w:t>
      </w:r>
    </w:p>
    <w:p w14:paraId="410FBAF8">
      <w:pPr>
        <w:jc w:val="center"/>
        <w:rPr>
          <w:rFonts w:ascii="黑体" w:hAnsi="黑体" w:eastAsia="黑体" w:cs="黑体"/>
          <w:b w:val="0"/>
          <w:bCs w:val="0"/>
          <w:sz w:val="21"/>
          <w:szCs w:val="21"/>
        </w:rPr>
      </w:pPr>
      <w:r>
        <w:rPr>
          <w:rFonts w:ascii="黑体" w:hAnsi="黑体" w:eastAsia="黑体" w:cs="黑体"/>
          <w:b w:val="0"/>
          <w:bCs w:val="0"/>
          <w:sz w:val="21"/>
          <w:szCs w:val="21"/>
        </w:rPr>
        <w:t>表2</w:t>
      </w:r>
      <w:r>
        <w:rPr>
          <w:rFonts w:hint="eastAsia" w:ascii="黑体" w:hAnsi="黑体" w:eastAsia="黑体" w:cs="黑体"/>
          <w:b w:val="0"/>
          <w:bCs w:val="0"/>
          <w:sz w:val="21"/>
          <w:szCs w:val="21"/>
          <w:lang w:val="en-US" w:eastAsia="zh-CN"/>
        </w:rPr>
        <w:t xml:space="preserve">  </w:t>
      </w:r>
      <w:r>
        <w:rPr>
          <w:rFonts w:ascii="黑体" w:hAnsi="黑体" w:eastAsia="黑体" w:cs="黑体"/>
          <w:b w:val="0"/>
          <w:bCs w:val="0"/>
          <w:sz w:val="21"/>
          <w:szCs w:val="21"/>
        </w:rPr>
        <w:t>乐龄玩具分类与功能汇总</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0"/>
        <w:gridCol w:w="2424"/>
        <w:gridCol w:w="3076"/>
        <w:gridCol w:w="2280"/>
      </w:tblGrid>
      <w:tr w14:paraId="2B8AD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340" w:type="dxa"/>
            <w:vAlign w:val="center"/>
          </w:tcPr>
          <w:p w14:paraId="14DB3880">
            <w:pPr>
              <w:spacing w:after="0" w:line="240" w:lineRule="auto"/>
              <w:jc w:val="center"/>
              <w:rPr>
                <w:b w:val="0"/>
                <w:bCs w:val="0"/>
                <w:sz w:val="21"/>
                <w:szCs w:val="21"/>
              </w:rPr>
            </w:pPr>
            <w:r>
              <w:rPr>
                <w:rFonts w:ascii="黑体" w:hAnsi="黑体" w:eastAsia="黑体" w:cs="黑体"/>
                <w:b w:val="0"/>
                <w:bCs w:val="0"/>
                <w:sz w:val="21"/>
                <w:szCs w:val="21"/>
              </w:rPr>
              <w:t>类别</w:t>
            </w:r>
          </w:p>
        </w:tc>
        <w:tc>
          <w:tcPr>
            <w:tcW w:w="2424" w:type="dxa"/>
            <w:vAlign w:val="center"/>
          </w:tcPr>
          <w:p w14:paraId="76BE4407">
            <w:pPr>
              <w:spacing w:after="0" w:line="240" w:lineRule="auto"/>
              <w:jc w:val="center"/>
              <w:rPr>
                <w:b w:val="0"/>
                <w:bCs w:val="0"/>
                <w:sz w:val="21"/>
                <w:szCs w:val="21"/>
              </w:rPr>
            </w:pPr>
            <w:r>
              <w:rPr>
                <w:rFonts w:ascii="黑体" w:hAnsi="黑体" w:eastAsia="黑体" w:cs="黑体"/>
                <w:b w:val="0"/>
                <w:bCs w:val="0"/>
                <w:sz w:val="21"/>
                <w:szCs w:val="21"/>
              </w:rPr>
              <w:t>核心功能</w:t>
            </w:r>
          </w:p>
        </w:tc>
        <w:tc>
          <w:tcPr>
            <w:tcW w:w="3076" w:type="dxa"/>
            <w:vAlign w:val="center"/>
          </w:tcPr>
          <w:p w14:paraId="75BA14AA">
            <w:pPr>
              <w:spacing w:after="0" w:line="240" w:lineRule="auto"/>
              <w:jc w:val="center"/>
              <w:rPr>
                <w:b w:val="0"/>
                <w:bCs w:val="0"/>
                <w:sz w:val="21"/>
                <w:szCs w:val="21"/>
              </w:rPr>
            </w:pPr>
            <w:r>
              <w:rPr>
                <w:rFonts w:ascii="黑体" w:hAnsi="黑体" w:eastAsia="黑体" w:cs="黑体"/>
                <w:b w:val="0"/>
                <w:bCs w:val="0"/>
                <w:sz w:val="21"/>
                <w:szCs w:val="21"/>
              </w:rPr>
              <w:t>典型产品</w:t>
            </w:r>
          </w:p>
        </w:tc>
        <w:tc>
          <w:tcPr>
            <w:tcW w:w="2280" w:type="dxa"/>
            <w:vAlign w:val="center"/>
          </w:tcPr>
          <w:p w14:paraId="236CDAA6">
            <w:pPr>
              <w:spacing w:after="0" w:line="240" w:lineRule="auto"/>
              <w:jc w:val="center"/>
              <w:rPr>
                <w:b w:val="0"/>
                <w:bCs w:val="0"/>
                <w:sz w:val="21"/>
                <w:szCs w:val="21"/>
              </w:rPr>
            </w:pPr>
            <w:r>
              <w:rPr>
                <w:rFonts w:ascii="黑体" w:hAnsi="黑体" w:eastAsia="黑体" w:cs="黑体"/>
                <w:b w:val="0"/>
                <w:bCs w:val="0"/>
                <w:sz w:val="21"/>
                <w:szCs w:val="21"/>
              </w:rPr>
              <w:t>适用分期</w:t>
            </w:r>
          </w:p>
        </w:tc>
      </w:tr>
      <w:tr w14:paraId="31D11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0" w:type="dxa"/>
            <w:vAlign w:val="center"/>
          </w:tcPr>
          <w:p w14:paraId="7496982D">
            <w:pPr>
              <w:spacing w:after="0" w:line="240" w:lineRule="auto"/>
              <w:rPr>
                <w:b w:val="0"/>
                <w:bCs w:val="0"/>
                <w:sz w:val="21"/>
                <w:szCs w:val="21"/>
              </w:rPr>
            </w:pPr>
            <w:r>
              <w:rPr>
                <w:rFonts w:ascii="宋体" w:hAnsi="宋体" w:eastAsia="宋体" w:cs="宋体"/>
                <w:b w:val="0"/>
                <w:bCs w:val="0"/>
                <w:sz w:val="21"/>
                <w:szCs w:val="21"/>
              </w:rPr>
              <w:t>认知训练类</w:t>
            </w:r>
          </w:p>
        </w:tc>
        <w:tc>
          <w:tcPr>
            <w:tcW w:w="2424" w:type="dxa"/>
            <w:vAlign w:val="center"/>
          </w:tcPr>
          <w:p w14:paraId="4959959D">
            <w:pPr>
              <w:spacing w:after="0" w:line="240" w:lineRule="auto"/>
              <w:rPr>
                <w:b w:val="0"/>
                <w:bCs w:val="0"/>
                <w:sz w:val="21"/>
                <w:szCs w:val="21"/>
              </w:rPr>
            </w:pPr>
            <w:r>
              <w:rPr>
                <w:rFonts w:ascii="宋体" w:hAnsi="宋体" w:eastAsia="宋体" w:cs="宋体"/>
                <w:b w:val="0"/>
                <w:bCs w:val="0"/>
                <w:sz w:val="21"/>
                <w:szCs w:val="21"/>
              </w:rPr>
              <w:t>记忆、注意、执行功能、语言、空间认知训练</w:t>
            </w:r>
          </w:p>
        </w:tc>
        <w:tc>
          <w:tcPr>
            <w:tcW w:w="3076" w:type="dxa"/>
            <w:vAlign w:val="center"/>
          </w:tcPr>
          <w:p w14:paraId="495BDB51">
            <w:pPr>
              <w:spacing w:after="0" w:line="240" w:lineRule="auto"/>
              <w:rPr>
                <w:b w:val="0"/>
                <w:bCs w:val="0"/>
                <w:sz w:val="21"/>
                <w:szCs w:val="21"/>
              </w:rPr>
            </w:pPr>
            <w:r>
              <w:rPr>
                <w:rFonts w:ascii="宋体" w:hAnsi="宋体" w:eastAsia="宋体" w:cs="宋体"/>
                <w:b w:val="0"/>
                <w:bCs w:val="0"/>
                <w:sz w:val="21"/>
                <w:szCs w:val="21"/>
              </w:rPr>
              <w:t>记忆翻牌、华容道、策略棋、看图说话板、立体拼图</w:t>
            </w:r>
          </w:p>
        </w:tc>
        <w:tc>
          <w:tcPr>
            <w:tcW w:w="2280" w:type="dxa"/>
            <w:vAlign w:val="center"/>
          </w:tcPr>
          <w:p w14:paraId="2B85C15A">
            <w:pPr>
              <w:spacing w:after="0" w:line="240" w:lineRule="auto"/>
              <w:rPr>
                <w:b w:val="0"/>
                <w:bCs w:val="0"/>
                <w:sz w:val="21"/>
                <w:szCs w:val="21"/>
              </w:rPr>
            </w:pPr>
            <w:r>
              <w:rPr>
                <w:rFonts w:ascii="宋体" w:hAnsi="宋体" w:eastAsia="宋体" w:cs="宋体"/>
                <w:b w:val="0"/>
                <w:bCs w:val="0"/>
                <w:sz w:val="21"/>
                <w:szCs w:val="21"/>
              </w:rPr>
              <w:t>MCI—中度痴呆</w:t>
            </w:r>
          </w:p>
        </w:tc>
      </w:tr>
      <w:tr w14:paraId="299E1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0" w:type="dxa"/>
            <w:vAlign w:val="center"/>
          </w:tcPr>
          <w:p w14:paraId="606FB8F6">
            <w:pPr>
              <w:spacing w:after="0" w:line="240" w:lineRule="auto"/>
              <w:rPr>
                <w:b w:val="0"/>
                <w:bCs w:val="0"/>
                <w:sz w:val="21"/>
                <w:szCs w:val="21"/>
              </w:rPr>
            </w:pPr>
            <w:r>
              <w:rPr>
                <w:rFonts w:ascii="宋体" w:hAnsi="宋体" w:eastAsia="宋体" w:cs="宋体"/>
                <w:b w:val="0"/>
                <w:bCs w:val="0"/>
                <w:sz w:val="21"/>
                <w:szCs w:val="21"/>
              </w:rPr>
              <w:t>运动功能类</w:t>
            </w:r>
          </w:p>
        </w:tc>
        <w:tc>
          <w:tcPr>
            <w:tcW w:w="2424" w:type="dxa"/>
            <w:vAlign w:val="center"/>
          </w:tcPr>
          <w:p w14:paraId="4DE91958">
            <w:pPr>
              <w:spacing w:after="0" w:line="240" w:lineRule="auto"/>
              <w:rPr>
                <w:b w:val="0"/>
                <w:bCs w:val="0"/>
                <w:sz w:val="21"/>
                <w:szCs w:val="21"/>
              </w:rPr>
            </w:pPr>
            <w:r>
              <w:rPr>
                <w:rFonts w:ascii="宋体" w:hAnsi="宋体" w:eastAsia="宋体" w:cs="宋体"/>
                <w:b w:val="0"/>
                <w:bCs w:val="0"/>
                <w:sz w:val="21"/>
                <w:szCs w:val="21"/>
              </w:rPr>
              <w:t>精细动作、粗大动作、平衡协调</w:t>
            </w:r>
          </w:p>
        </w:tc>
        <w:tc>
          <w:tcPr>
            <w:tcW w:w="3076" w:type="dxa"/>
            <w:vAlign w:val="center"/>
          </w:tcPr>
          <w:p w14:paraId="3C3BB826">
            <w:pPr>
              <w:spacing w:after="0" w:line="240" w:lineRule="auto"/>
              <w:rPr>
                <w:b w:val="0"/>
                <w:bCs w:val="0"/>
                <w:sz w:val="21"/>
                <w:szCs w:val="21"/>
              </w:rPr>
            </w:pPr>
            <w:r>
              <w:rPr>
                <w:rFonts w:ascii="宋体" w:hAnsi="宋体" w:eastAsia="宋体" w:cs="宋体"/>
                <w:b w:val="0"/>
                <w:bCs w:val="0"/>
                <w:sz w:val="21"/>
                <w:szCs w:val="21"/>
              </w:rPr>
              <w:t>手部训练球、桌面冰壶、弹力对战棋、体感互动游戏</w:t>
            </w:r>
          </w:p>
        </w:tc>
        <w:tc>
          <w:tcPr>
            <w:tcW w:w="2280" w:type="dxa"/>
            <w:vAlign w:val="center"/>
          </w:tcPr>
          <w:p w14:paraId="1A33E256">
            <w:pPr>
              <w:spacing w:after="0" w:line="240" w:lineRule="auto"/>
              <w:rPr>
                <w:b w:val="0"/>
                <w:bCs w:val="0"/>
                <w:sz w:val="21"/>
                <w:szCs w:val="21"/>
              </w:rPr>
            </w:pPr>
            <w:r>
              <w:rPr>
                <w:rFonts w:ascii="宋体" w:hAnsi="宋体" w:eastAsia="宋体" w:cs="宋体"/>
                <w:b w:val="0"/>
                <w:bCs w:val="0"/>
                <w:sz w:val="21"/>
                <w:szCs w:val="21"/>
              </w:rPr>
              <w:t>MCI—中度痴呆</w:t>
            </w:r>
          </w:p>
        </w:tc>
      </w:tr>
      <w:tr w14:paraId="493BD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0" w:type="dxa"/>
            <w:vAlign w:val="center"/>
          </w:tcPr>
          <w:p w14:paraId="3D17F795">
            <w:pPr>
              <w:spacing w:after="0" w:line="240" w:lineRule="auto"/>
              <w:rPr>
                <w:b w:val="0"/>
                <w:bCs w:val="0"/>
                <w:sz w:val="21"/>
                <w:szCs w:val="21"/>
              </w:rPr>
            </w:pPr>
            <w:r>
              <w:rPr>
                <w:rFonts w:ascii="宋体" w:hAnsi="宋体" w:eastAsia="宋体" w:cs="宋体"/>
                <w:b w:val="0"/>
                <w:bCs w:val="0"/>
                <w:sz w:val="21"/>
                <w:szCs w:val="21"/>
              </w:rPr>
              <w:t>情感陪伴类</w:t>
            </w:r>
          </w:p>
        </w:tc>
        <w:tc>
          <w:tcPr>
            <w:tcW w:w="2424" w:type="dxa"/>
            <w:vAlign w:val="center"/>
          </w:tcPr>
          <w:p w14:paraId="011FCC9D">
            <w:pPr>
              <w:spacing w:after="0" w:line="240" w:lineRule="auto"/>
              <w:rPr>
                <w:b w:val="0"/>
                <w:bCs w:val="0"/>
                <w:sz w:val="21"/>
                <w:szCs w:val="21"/>
              </w:rPr>
            </w:pPr>
            <w:r>
              <w:rPr>
                <w:rFonts w:ascii="宋体" w:hAnsi="宋体" w:eastAsia="宋体" w:cs="宋体"/>
                <w:b w:val="0"/>
                <w:bCs w:val="0"/>
                <w:sz w:val="21"/>
                <w:szCs w:val="21"/>
              </w:rPr>
              <w:t>情感支持、焦虑缓解、安全感提供</w:t>
            </w:r>
          </w:p>
        </w:tc>
        <w:tc>
          <w:tcPr>
            <w:tcW w:w="3076" w:type="dxa"/>
            <w:vAlign w:val="center"/>
          </w:tcPr>
          <w:p w14:paraId="57C0CDA0">
            <w:pPr>
              <w:spacing w:after="0" w:line="240" w:lineRule="auto"/>
              <w:rPr>
                <w:b w:val="0"/>
                <w:bCs w:val="0"/>
                <w:sz w:val="21"/>
                <w:szCs w:val="21"/>
              </w:rPr>
            </w:pPr>
            <w:r>
              <w:rPr>
                <w:rFonts w:ascii="宋体" w:hAnsi="宋体" w:eastAsia="宋体" w:cs="宋体"/>
                <w:b w:val="0"/>
                <w:bCs w:val="0"/>
                <w:sz w:val="21"/>
                <w:szCs w:val="21"/>
              </w:rPr>
              <w:t>交互式毛绒玩具、仿真娃娃、陪伴机器人</w:t>
            </w:r>
          </w:p>
        </w:tc>
        <w:tc>
          <w:tcPr>
            <w:tcW w:w="2280" w:type="dxa"/>
            <w:vAlign w:val="center"/>
          </w:tcPr>
          <w:p w14:paraId="39E2C717">
            <w:pPr>
              <w:spacing w:after="0" w:line="240" w:lineRule="auto"/>
              <w:rPr>
                <w:b w:val="0"/>
                <w:bCs w:val="0"/>
                <w:sz w:val="21"/>
                <w:szCs w:val="21"/>
              </w:rPr>
            </w:pPr>
            <w:r>
              <w:rPr>
                <w:rFonts w:ascii="宋体" w:hAnsi="宋体" w:eastAsia="宋体" w:cs="宋体"/>
                <w:b w:val="0"/>
                <w:bCs w:val="0"/>
                <w:sz w:val="21"/>
                <w:szCs w:val="21"/>
              </w:rPr>
              <w:t>中度痴呆—重度痴呆</w:t>
            </w:r>
          </w:p>
        </w:tc>
      </w:tr>
      <w:tr w14:paraId="6A58E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0" w:type="dxa"/>
            <w:vAlign w:val="center"/>
          </w:tcPr>
          <w:p w14:paraId="1EEC4AC6">
            <w:pPr>
              <w:spacing w:after="0" w:line="240" w:lineRule="auto"/>
              <w:rPr>
                <w:b w:val="0"/>
                <w:bCs w:val="0"/>
                <w:sz w:val="21"/>
                <w:szCs w:val="21"/>
              </w:rPr>
            </w:pPr>
            <w:r>
              <w:rPr>
                <w:rFonts w:ascii="宋体" w:hAnsi="宋体" w:eastAsia="宋体" w:cs="宋体"/>
                <w:b w:val="0"/>
                <w:bCs w:val="0"/>
                <w:sz w:val="21"/>
                <w:szCs w:val="21"/>
              </w:rPr>
              <w:t>怀旧触发类</w:t>
            </w:r>
          </w:p>
        </w:tc>
        <w:tc>
          <w:tcPr>
            <w:tcW w:w="2424" w:type="dxa"/>
            <w:vAlign w:val="center"/>
          </w:tcPr>
          <w:p w14:paraId="2600379A">
            <w:pPr>
              <w:spacing w:after="0" w:line="240" w:lineRule="auto"/>
              <w:rPr>
                <w:b w:val="0"/>
                <w:bCs w:val="0"/>
                <w:sz w:val="21"/>
                <w:szCs w:val="21"/>
              </w:rPr>
            </w:pPr>
            <w:r>
              <w:rPr>
                <w:rFonts w:ascii="宋体" w:hAnsi="宋体" w:eastAsia="宋体" w:cs="宋体"/>
                <w:b w:val="0"/>
                <w:bCs w:val="0"/>
                <w:sz w:val="21"/>
                <w:szCs w:val="21"/>
              </w:rPr>
              <w:t>记忆唤起、情绪调节、身份认同</w:t>
            </w:r>
          </w:p>
        </w:tc>
        <w:tc>
          <w:tcPr>
            <w:tcW w:w="3076" w:type="dxa"/>
            <w:vAlign w:val="center"/>
          </w:tcPr>
          <w:p w14:paraId="56678607">
            <w:pPr>
              <w:spacing w:after="0" w:line="240" w:lineRule="auto"/>
              <w:rPr>
                <w:b w:val="0"/>
                <w:bCs w:val="0"/>
                <w:sz w:val="21"/>
                <w:szCs w:val="21"/>
              </w:rPr>
            </w:pPr>
            <w:r>
              <w:rPr>
                <w:rFonts w:ascii="宋体" w:hAnsi="宋体" w:eastAsia="宋体" w:cs="宋体"/>
                <w:b w:val="0"/>
                <w:bCs w:val="0"/>
                <w:sz w:val="21"/>
                <w:szCs w:val="21"/>
              </w:rPr>
              <w:t>老歌点唱机、经典拼图、手工工具包</w:t>
            </w:r>
          </w:p>
        </w:tc>
        <w:tc>
          <w:tcPr>
            <w:tcW w:w="2280" w:type="dxa"/>
            <w:vAlign w:val="center"/>
          </w:tcPr>
          <w:p w14:paraId="7C58B739">
            <w:pPr>
              <w:spacing w:after="0" w:line="240" w:lineRule="auto"/>
              <w:rPr>
                <w:b w:val="0"/>
                <w:bCs w:val="0"/>
                <w:sz w:val="21"/>
                <w:szCs w:val="21"/>
              </w:rPr>
            </w:pPr>
            <w:r>
              <w:rPr>
                <w:rFonts w:ascii="宋体" w:hAnsi="宋体" w:eastAsia="宋体" w:cs="宋体"/>
                <w:b w:val="0"/>
                <w:bCs w:val="0"/>
                <w:sz w:val="21"/>
                <w:szCs w:val="21"/>
              </w:rPr>
              <w:t>MCI—重度痴呆</w:t>
            </w:r>
          </w:p>
        </w:tc>
      </w:tr>
      <w:tr w14:paraId="60122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0" w:type="dxa"/>
            <w:vAlign w:val="center"/>
          </w:tcPr>
          <w:p w14:paraId="4E46A02E">
            <w:pPr>
              <w:spacing w:after="0" w:line="240" w:lineRule="auto"/>
              <w:rPr>
                <w:b w:val="0"/>
                <w:bCs w:val="0"/>
                <w:sz w:val="21"/>
                <w:szCs w:val="21"/>
              </w:rPr>
            </w:pPr>
            <w:r>
              <w:rPr>
                <w:rFonts w:ascii="宋体" w:hAnsi="宋体" w:eastAsia="宋体" w:cs="宋体"/>
                <w:b w:val="0"/>
                <w:bCs w:val="0"/>
                <w:sz w:val="21"/>
                <w:szCs w:val="21"/>
              </w:rPr>
              <w:t>社交互动类</w:t>
            </w:r>
          </w:p>
        </w:tc>
        <w:tc>
          <w:tcPr>
            <w:tcW w:w="2424" w:type="dxa"/>
            <w:vAlign w:val="center"/>
          </w:tcPr>
          <w:p w14:paraId="7B2152F3">
            <w:pPr>
              <w:spacing w:after="0" w:line="240" w:lineRule="auto"/>
              <w:rPr>
                <w:b w:val="0"/>
                <w:bCs w:val="0"/>
                <w:sz w:val="21"/>
                <w:szCs w:val="21"/>
              </w:rPr>
            </w:pPr>
            <w:r>
              <w:rPr>
                <w:rFonts w:ascii="宋体" w:hAnsi="宋体" w:eastAsia="宋体" w:cs="宋体"/>
                <w:b w:val="0"/>
                <w:bCs w:val="0"/>
                <w:sz w:val="21"/>
                <w:szCs w:val="21"/>
              </w:rPr>
              <w:t>社会参与、合作能力、沟通表达</w:t>
            </w:r>
          </w:p>
        </w:tc>
        <w:tc>
          <w:tcPr>
            <w:tcW w:w="3076" w:type="dxa"/>
            <w:vAlign w:val="center"/>
          </w:tcPr>
          <w:p w14:paraId="3DB37E4E">
            <w:pPr>
              <w:spacing w:after="0" w:line="240" w:lineRule="auto"/>
              <w:rPr>
                <w:b w:val="0"/>
                <w:bCs w:val="0"/>
                <w:sz w:val="21"/>
                <w:szCs w:val="21"/>
              </w:rPr>
            </w:pPr>
            <w:r>
              <w:rPr>
                <w:rFonts w:ascii="宋体" w:hAnsi="宋体" w:eastAsia="宋体" w:cs="宋体"/>
                <w:b w:val="0"/>
                <w:bCs w:val="0"/>
                <w:sz w:val="21"/>
                <w:szCs w:val="21"/>
              </w:rPr>
              <w:t>合作型桌游、团体乐器、多人拼图垫、互动投影游戏</w:t>
            </w:r>
          </w:p>
        </w:tc>
        <w:tc>
          <w:tcPr>
            <w:tcW w:w="2280" w:type="dxa"/>
            <w:vAlign w:val="center"/>
          </w:tcPr>
          <w:p w14:paraId="25195102">
            <w:pPr>
              <w:spacing w:after="0" w:line="240" w:lineRule="auto"/>
              <w:rPr>
                <w:b w:val="0"/>
                <w:bCs w:val="0"/>
                <w:sz w:val="21"/>
                <w:szCs w:val="21"/>
              </w:rPr>
            </w:pPr>
            <w:r>
              <w:rPr>
                <w:rFonts w:ascii="宋体" w:hAnsi="宋体" w:eastAsia="宋体" w:cs="宋体"/>
                <w:b w:val="0"/>
                <w:bCs w:val="0"/>
                <w:sz w:val="21"/>
                <w:szCs w:val="21"/>
              </w:rPr>
              <w:t>MCI—中度痴呆</w:t>
            </w:r>
          </w:p>
        </w:tc>
      </w:tr>
    </w:tbl>
    <w:p w14:paraId="1F230B2D">
      <w:pPr>
        <w:pStyle w:val="51"/>
        <w:spacing w:before="312" w:after="312"/>
        <w:rPr>
          <w:rFonts w:hint="eastAsia"/>
          <w:lang w:val="en-US" w:eastAsia="zh-CN"/>
        </w:rPr>
      </w:pPr>
      <w:r>
        <w:rPr>
          <w:rFonts w:hint="eastAsia"/>
          <w:lang w:val="en-US" w:eastAsia="zh-CN"/>
        </w:rPr>
        <w:t>智能玩具特殊指导</w:t>
      </w:r>
    </w:p>
    <w:p w14:paraId="5FB8BF4C">
      <w:pPr>
        <w:pStyle w:val="50"/>
        <w:numPr>
          <w:ilvl w:val="1"/>
          <w:numId w:val="0"/>
        </w:numPr>
        <w:bidi w:val="0"/>
        <w:ind w:leftChars="0"/>
      </w:pPr>
      <w:r>
        <w:t>7.1　交互设计</w:t>
      </w:r>
    </w:p>
    <w:p w14:paraId="35BDE18F">
      <w:pPr>
        <w:spacing w:line="240" w:lineRule="auto"/>
        <w:ind w:firstLine="420"/>
        <w:rPr>
          <w:b w:val="0"/>
          <w:bCs/>
          <w:sz w:val="21"/>
          <w:szCs w:val="21"/>
        </w:rPr>
      </w:pPr>
      <w:r>
        <w:rPr>
          <w:rFonts w:ascii="宋体" w:hAnsi="宋体" w:eastAsia="宋体" w:cs="宋体"/>
          <w:b w:val="0"/>
          <w:bCs/>
          <w:sz w:val="21"/>
          <w:szCs w:val="21"/>
        </w:rPr>
        <w:t>智能乐龄玩具的人机交互设计宜考虑以下方面：</w:t>
      </w:r>
    </w:p>
    <w:p w14:paraId="0566D95B">
      <w:pPr>
        <w:spacing w:line="240" w:lineRule="auto"/>
        <w:ind w:firstLine="420"/>
        <w:rPr>
          <w:b w:val="0"/>
          <w:bCs/>
          <w:sz w:val="21"/>
          <w:szCs w:val="21"/>
        </w:rPr>
      </w:pPr>
      <w:r>
        <w:rPr>
          <w:rFonts w:ascii="宋体" w:hAnsi="宋体" w:eastAsia="宋体" w:cs="宋体"/>
          <w:b w:val="0"/>
          <w:bCs/>
          <w:sz w:val="21"/>
          <w:szCs w:val="21"/>
        </w:rPr>
        <w:t>a）语音交互：支持中文普通话及至少两种常见方言，语音识别准确率不低于90%；语速可调节（60—150字/分钟）；音量范围40—85 dB可调节；</w:t>
      </w:r>
    </w:p>
    <w:p w14:paraId="406652FB">
      <w:pPr>
        <w:spacing w:line="240" w:lineRule="auto"/>
        <w:ind w:firstLine="420"/>
        <w:rPr>
          <w:b w:val="0"/>
          <w:bCs/>
          <w:sz w:val="21"/>
          <w:szCs w:val="21"/>
        </w:rPr>
      </w:pPr>
      <w:r>
        <w:rPr>
          <w:rFonts w:ascii="宋体" w:hAnsi="宋体" w:eastAsia="宋体" w:cs="宋体"/>
          <w:b w:val="0"/>
          <w:bCs/>
          <w:sz w:val="21"/>
          <w:szCs w:val="21"/>
        </w:rPr>
        <w:t>b）触控界面：按钮/图标直径不小于12 mm，间距不小于6 mm；触控响应时间不超过500 ms；支持手套模式（照顾冬季使用场景）；</w:t>
      </w:r>
    </w:p>
    <w:p w14:paraId="7E3CFC3D">
      <w:pPr>
        <w:spacing w:line="240" w:lineRule="auto"/>
        <w:ind w:firstLine="420"/>
        <w:rPr>
          <w:b w:val="0"/>
          <w:bCs/>
          <w:sz w:val="21"/>
          <w:szCs w:val="21"/>
        </w:rPr>
      </w:pPr>
      <w:r>
        <w:rPr>
          <w:rFonts w:ascii="宋体" w:hAnsi="宋体" w:eastAsia="宋体" w:cs="宋体"/>
          <w:b w:val="0"/>
          <w:bCs/>
          <w:sz w:val="21"/>
          <w:szCs w:val="21"/>
        </w:rPr>
        <w:t>c）显示界面：字体不小于18 pt，推荐使用无衬线字体；色彩对比度不低于7:1；避免闪烁频率超过3 Hz的动画效果（防止诱发癫痫）；</w:t>
      </w:r>
    </w:p>
    <w:p w14:paraId="26942CD1">
      <w:pPr>
        <w:spacing w:line="240" w:lineRule="auto"/>
        <w:ind w:firstLine="420"/>
        <w:rPr>
          <w:b w:val="0"/>
          <w:bCs/>
          <w:sz w:val="21"/>
          <w:szCs w:val="21"/>
        </w:rPr>
      </w:pPr>
      <w:r>
        <w:rPr>
          <w:rFonts w:ascii="宋体" w:hAnsi="宋体" w:eastAsia="宋体" w:cs="宋体"/>
          <w:b w:val="0"/>
          <w:bCs/>
          <w:sz w:val="21"/>
          <w:szCs w:val="21"/>
        </w:rPr>
        <w:t>d）物理控件：旋钮/按键宜提供触觉反馈（如</w:t>
      </w:r>
      <w:r>
        <w:rPr>
          <w:rFonts w:hint="eastAsia" w:cs="宋体"/>
          <w:b w:val="0"/>
          <w:bCs/>
          <w:sz w:val="21"/>
          <w:szCs w:val="21"/>
          <w:lang w:eastAsia="zh-CN"/>
        </w:rPr>
        <w:t>“</w:t>
      </w:r>
      <w:r>
        <w:rPr>
          <w:rFonts w:ascii="宋体" w:hAnsi="宋体" w:eastAsia="宋体" w:cs="宋体"/>
          <w:b w:val="0"/>
          <w:bCs/>
          <w:sz w:val="21"/>
          <w:szCs w:val="21"/>
        </w:rPr>
        <w:t>咔嗒</w:t>
      </w:r>
      <w:r>
        <w:rPr>
          <w:rFonts w:hint="eastAsia" w:cs="宋体"/>
          <w:b w:val="0"/>
          <w:bCs/>
          <w:sz w:val="21"/>
          <w:szCs w:val="21"/>
          <w:lang w:eastAsia="zh-CN"/>
        </w:rPr>
        <w:t>”</w:t>
      </w:r>
      <w:r>
        <w:rPr>
          <w:rFonts w:ascii="宋体" w:hAnsi="宋体" w:eastAsia="宋体" w:cs="宋体"/>
          <w:b w:val="0"/>
          <w:bCs/>
          <w:sz w:val="21"/>
          <w:szCs w:val="21"/>
        </w:rPr>
        <w:t>声或振动）；旋转部件扭矩不超过0.05 N·m；按压行程不小于2 mm。</w:t>
      </w:r>
    </w:p>
    <w:p w14:paraId="776F4B9C">
      <w:pPr>
        <w:pStyle w:val="50"/>
        <w:numPr>
          <w:ilvl w:val="1"/>
          <w:numId w:val="0"/>
        </w:numPr>
        <w:bidi w:val="0"/>
        <w:ind w:leftChars="0"/>
      </w:pPr>
      <w:r>
        <w:t>7.2　自适应与个性化</w:t>
      </w:r>
    </w:p>
    <w:p w14:paraId="258DDA10">
      <w:pPr>
        <w:spacing w:line="240" w:lineRule="auto"/>
        <w:ind w:firstLine="420"/>
        <w:rPr>
          <w:b w:val="0"/>
          <w:bCs/>
          <w:sz w:val="21"/>
          <w:szCs w:val="21"/>
        </w:rPr>
      </w:pPr>
      <w:r>
        <w:rPr>
          <w:rFonts w:ascii="宋体" w:hAnsi="宋体" w:eastAsia="宋体" w:cs="宋体"/>
          <w:b w:val="0"/>
          <w:bCs/>
          <w:sz w:val="21"/>
          <w:szCs w:val="21"/>
        </w:rPr>
        <w:t>智能乐龄玩具宜具备自适应能力，可参考以下建议：</w:t>
      </w:r>
    </w:p>
    <w:p w14:paraId="265DCB78">
      <w:pPr>
        <w:spacing w:line="240" w:lineRule="auto"/>
        <w:ind w:firstLine="420"/>
        <w:rPr>
          <w:b w:val="0"/>
          <w:bCs/>
          <w:sz w:val="21"/>
          <w:szCs w:val="21"/>
        </w:rPr>
      </w:pPr>
      <w:r>
        <w:rPr>
          <w:rFonts w:ascii="宋体" w:hAnsi="宋体" w:eastAsia="宋体" w:cs="宋体"/>
          <w:b w:val="0"/>
          <w:bCs/>
          <w:sz w:val="21"/>
          <w:szCs w:val="21"/>
        </w:rPr>
        <w:t>a）难度自适应：根据使用者的历史表现（正确率、完成时间、放弃率）自动调整任务难度，调整幅度不超过一个等级/次；</w:t>
      </w:r>
    </w:p>
    <w:p w14:paraId="4F09D34A">
      <w:pPr>
        <w:spacing w:line="240" w:lineRule="auto"/>
        <w:ind w:firstLine="420"/>
        <w:rPr>
          <w:b w:val="0"/>
          <w:bCs/>
          <w:sz w:val="21"/>
          <w:szCs w:val="21"/>
        </w:rPr>
      </w:pPr>
      <w:r>
        <w:rPr>
          <w:rFonts w:ascii="宋体" w:hAnsi="宋体" w:eastAsia="宋体" w:cs="宋体"/>
          <w:b w:val="0"/>
          <w:bCs/>
          <w:sz w:val="21"/>
          <w:szCs w:val="21"/>
        </w:rPr>
        <w:t>b）内容个性化：可根据用户画像（年龄、性别、职业背景、兴趣爱好）推荐适配内容；</w:t>
      </w:r>
    </w:p>
    <w:p w14:paraId="45F8DA58">
      <w:pPr>
        <w:spacing w:line="240" w:lineRule="auto"/>
        <w:ind w:firstLine="420"/>
        <w:rPr>
          <w:b w:val="0"/>
          <w:bCs/>
          <w:sz w:val="21"/>
          <w:szCs w:val="21"/>
        </w:rPr>
      </w:pPr>
      <w:r>
        <w:rPr>
          <w:rFonts w:ascii="宋体" w:hAnsi="宋体" w:eastAsia="宋体" w:cs="宋体"/>
          <w:b w:val="0"/>
          <w:bCs/>
          <w:sz w:val="21"/>
          <w:szCs w:val="21"/>
        </w:rPr>
        <w:t>c）情绪感知：宜具备基础情绪识别能力（通过语音语调、面部表情或使用时长变化），在检测到负面情绪时自动切换至安抚模式；</w:t>
      </w:r>
    </w:p>
    <w:p w14:paraId="0C54ECAB">
      <w:pPr>
        <w:spacing w:line="240" w:lineRule="auto"/>
        <w:ind w:firstLine="420"/>
        <w:rPr>
          <w:b w:val="0"/>
          <w:bCs/>
          <w:sz w:val="21"/>
          <w:szCs w:val="21"/>
        </w:rPr>
      </w:pPr>
      <w:r>
        <w:rPr>
          <w:rFonts w:ascii="宋体" w:hAnsi="宋体" w:eastAsia="宋体" w:cs="宋体"/>
          <w:b w:val="0"/>
          <w:bCs/>
          <w:sz w:val="21"/>
          <w:szCs w:val="21"/>
        </w:rPr>
        <w:t>d）学习曲线平滑：新功能/新规则宜分阶段引入，每次只增加一个变量，确保用户充分掌握后再升级。</w:t>
      </w:r>
    </w:p>
    <w:p w14:paraId="07046D47">
      <w:pPr>
        <w:pStyle w:val="50"/>
        <w:numPr>
          <w:ilvl w:val="1"/>
          <w:numId w:val="0"/>
        </w:numPr>
        <w:bidi w:val="0"/>
        <w:ind w:leftChars="0"/>
      </w:pPr>
      <w:r>
        <w:t>7.3　数据采集与分析</w:t>
      </w:r>
    </w:p>
    <w:p w14:paraId="2BBB7A1B">
      <w:pPr>
        <w:spacing w:line="240" w:lineRule="auto"/>
        <w:ind w:firstLine="420"/>
        <w:rPr>
          <w:b w:val="0"/>
          <w:bCs/>
          <w:sz w:val="21"/>
          <w:szCs w:val="21"/>
        </w:rPr>
      </w:pPr>
      <w:r>
        <w:rPr>
          <w:rFonts w:ascii="宋体" w:hAnsi="宋体" w:eastAsia="宋体" w:cs="宋体"/>
          <w:b w:val="0"/>
          <w:bCs/>
          <w:sz w:val="21"/>
          <w:szCs w:val="21"/>
        </w:rPr>
        <w:t>智能乐龄玩具的数据功能宜考虑以下方面：</w:t>
      </w:r>
    </w:p>
    <w:p w14:paraId="6A6ADC27">
      <w:pPr>
        <w:spacing w:line="240" w:lineRule="auto"/>
        <w:ind w:firstLine="420"/>
        <w:rPr>
          <w:b w:val="0"/>
          <w:bCs/>
          <w:sz w:val="21"/>
          <w:szCs w:val="21"/>
        </w:rPr>
      </w:pPr>
      <w:r>
        <w:rPr>
          <w:rFonts w:ascii="宋体" w:hAnsi="宋体" w:eastAsia="宋体" w:cs="宋体"/>
          <w:b w:val="0"/>
          <w:bCs/>
          <w:sz w:val="21"/>
          <w:szCs w:val="21"/>
        </w:rPr>
        <w:t>a）采集数据项宜明确告知用户/照护者，遵循最小必要原则；</w:t>
      </w:r>
    </w:p>
    <w:p w14:paraId="5B7250E3">
      <w:pPr>
        <w:spacing w:line="240" w:lineRule="auto"/>
        <w:ind w:firstLine="420"/>
        <w:rPr>
          <w:b w:val="0"/>
          <w:bCs/>
          <w:sz w:val="21"/>
          <w:szCs w:val="21"/>
        </w:rPr>
      </w:pPr>
      <w:r>
        <w:rPr>
          <w:rFonts w:ascii="宋体" w:hAnsi="宋体" w:eastAsia="宋体" w:cs="宋体"/>
          <w:b w:val="0"/>
          <w:bCs/>
          <w:sz w:val="21"/>
          <w:szCs w:val="21"/>
        </w:rPr>
        <w:t>b）核心记录指标可包括：使用频率、单次使用时长、任务完成率、平均反应时间、错误模式分布、情绪状态自评等；</w:t>
      </w:r>
    </w:p>
    <w:p w14:paraId="7966A372">
      <w:pPr>
        <w:spacing w:line="240" w:lineRule="auto"/>
        <w:ind w:firstLine="420"/>
        <w:rPr>
          <w:rFonts w:ascii="宋体" w:hAnsi="宋体" w:eastAsia="宋体" w:cs="宋体"/>
          <w:b w:val="0"/>
          <w:bCs/>
          <w:sz w:val="21"/>
          <w:szCs w:val="21"/>
        </w:rPr>
      </w:pPr>
      <w:r>
        <w:rPr>
          <w:rFonts w:ascii="宋体" w:hAnsi="宋体" w:eastAsia="宋体" w:cs="宋体"/>
          <w:b w:val="0"/>
          <w:bCs/>
          <w:sz w:val="21"/>
          <w:szCs w:val="21"/>
        </w:rPr>
        <w:t>c）数据宜加密存储（推荐AES—256），本地存储优先，云端同步需获得明确授权；</w:t>
      </w:r>
    </w:p>
    <w:p w14:paraId="3E3D815B">
      <w:pPr>
        <w:spacing w:line="240" w:lineRule="auto"/>
        <w:ind w:firstLine="420"/>
        <w:rPr>
          <w:rFonts w:hint="eastAsia" w:eastAsia="宋体"/>
          <w:b w:val="0"/>
          <w:bCs/>
          <w:sz w:val="21"/>
          <w:szCs w:val="21"/>
          <w:lang w:eastAsia="zh-CN"/>
        </w:rPr>
      </w:pPr>
      <w:r>
        <w:rPr>
          <w:rFonts w:ascii="宋体" w:hAnsi="宋体" w:eastAsia="宋体" w:cs="宋体"/>
          <w:b w:val="0"/>
          <w:bCs/>
          <w:sz w:val="21"/>
          <w:szCs w:val="21"/>
        </w:rPr>
        <w:t>d）宜提供可视化报告（周报/月报），以图表形式呈现认知变化趋势，供照护者和专业团队参考</w:t>
      </w:r>
      <w:r>
        <w:rPr>
          <w:rFonts w:hint="eastAsia" w:cs="宋体"/>
          <w:b w:val="0"/>
          <w:bCs/>
          <w:sz w:val="21"/>
          <w:szCs w:val="21"/>
          <w:lang w:eastAsia="zh-CN"/>
        </w:rPr>
        <w:t>，</w:t>
      </w:r>
      <w:r>
        <w:rPr>
          <w:b w:val="0"/>
          <w:bCs/>
          <w:sz w:val="21"/>
          <w:szCs w:val="21"/>
        </w:rPr>
        <w:t>（报告结构示例见附录B）</w:t>
      </w:r>
      <w:r>
        <w:rPr>
          <w:rFonts w:hint="eastAsia"/>
          <w:b w:val="0"/>
          <w:bCs/>
          <w:sz w:val="21"/>
          <w:szCs w:val="21"/>
          <w:lang w:eastAsia="zh-CN"/>
        </w:rPr>
        <w:t>；</w:t>
      </w:r>
    </w:p>
    <w:p w14:paraId="04114A60">
      <w:pPr>
        <w:spacing w:line="240" w:lineRule="auto"/>
        <w:ind w:firstLine="420"/>
        <w:rPr>
          <w:rFonts w:ascii="宋体" w:hAnsi="宋体" w:eastAsia="宋体" w:cs="宋体"/>
          <w:b w:val="0"/>
          <w:bCs/>
          <w:sz w:val="21"/>
          <w:szCs w:val="21"/>
        </w:rPr>
      </w:pPr>
      <w:r>
        <w:rPr>
          <w:rFonts w:ascii="宋体" w:hAnsi="宋体" w:eastAsia="宋体" w:cs="宋体"/>
          <w:b w:val="0"/>
          <w:bCs/>
          <w:sz w:val="21"/>
          <w:szCs w:val="21"/>
        </w:rPr>
        <w:t>e）数据所有权归用户所有，用户有权导出、删除全部个人数据。</w:t>
      </w:r>
    </w:p>
    <w:p w14:paraId="29D459D4">
      <w:pPr>
        <w:pStyle w:val="50"/>
        <w:numPr>
          <w:ilvl w:val="1"/>
          <w:numId w:val="0"/>
        </w:numPr>
        <w:bidi w:val="0"/>
        <w:ind w:leftChars="0"/>
      </w:pPr>
      <w:r>
        <w:t>7.4　网络连接与安全</w:t>
      </w:r>
    </w:p>
    <w:p w14:paraId="130DA78A">
      <w:pPr>
        <w:spacing w:line="240" w:lineRule="auto"/>
        <w:ind w:firstLine="420"/>
        <w:rPr>
          <w:b w:val="0"/>
          <w:bCs/>
          <w:sz w:val="21"/>
          <w:szCs w:val="21"/>
        </w:rPr>
      </w:pPr>
      <w:r>
        <w:rPr>
          <w:rFonts w:ascii="宋体" w:hAnsi="宋体" w:eastAsia="宋体" w:cs="宋体"/>
          <w:b w:val="0"/>
          <w:bCs/>
          <w:sz w:val="21"/>
          <w:szCs w:val="21"/>
        </w:rPr>
        <w:t>智能乐龄玩具的网络与数据安全宜考虑以下方面：</w:t>
      </w:r>
    </w:p>
    <w:p w14:paraId="23CA1FA7">
      <w:pPr>
        <w:spacing w:line="240" w:lineRule="auto"/>
        <w:ind w:firstLine="420"/>
        <w:rPr>
          <w:b w:val="0"/>
          <w:bCs/>
          <w:sz w:val="21"/>
          <w:szCs w:val="21"/>
        </w:rPr>
      </w:pPr>
      <w:r>
        <w:rPr>
          <w:rFonts w:ascii="宋体" w:hAnsi="宋体" w:eastAsia="宋体" w:cs="宋体"/>
          <w:b w:val="0"/>
          <w:bCs/>
          <w:sz w:val="21"/>
          <w:szCs w:val="21"/>
        </w:rPr>
        <w:t>a）网络通信宜采用加密协议（TLS 1.2及以上）；</w:t>
      </w:r>
    </w:p>
    <w:p w14:paraId="34753AD7">
      <w:pPr>
        <w:spacing w:line="240" w:lineRule="auto"/>
        <w:ind w:firstLine="420"/>
        <w:rPr>
          <w:b w:val="0"/>
          <w:bCs/>
          <w:sz w:val="21"/>
          <w:szCs w:val="21"/>
        </w:rPr>
      </w:pPr>
      <w:r>
        <w:rPr>
          <w:rFonts w:ascii="宋体" w:hAnsi="宋体" w:eastAsia="宋体" w:cs="宋体"/>
          <w:b w:val="0"/>
          <w:bCs/>
          <w:sz w:val="21"/>
          <w:szCs w:val="21"/>
        </w:rPr>
        <w:t>b）默认出厂状态下不宜自动连接公共Wi-Fi；首次联网需由照护者手动配置；</w:t>
      </w:r>
    </w:p>
    <w:p w14:paraId="7F0B2FB5">
      <w:pPr>
        <w:spacing w:line="240" w:lineRule="auto"/>
        <w:ind w:firstLine="420"/>
        <w:rPr>
          <w:b w:val="0"/>
          <w:bCs/>
          <w:sz w:val="21"/>
          <w:szCs w:val="21"/>
        </w:rPr>
      </w:pPr>
      <w:r>
        <w:rPr>
          <w:rFonts w:ascii="宋体" w:hAnsi="宋体" w:eastAsia="宋体" w:cs="宋体"/>
          <w:b w:val="0"/>
          <w:bCs/>
          <w:sz w:val="21"/>
          <w:szCs w:val="21"/>
        </w:rPr>
        <w:t>c）固件升级宜支持OTA方式，升级包需数字签名验证；</w:t>
      </w:r>
    </w:p>
    <w:p w14:paraId="14C84CEC">
      <w:pPr>
        <w:spacing w:line="240" w:lineRule="auto"/>
        <w:ind w:firstLine="420"/>
        <w:rPr>
          <w:b w:val="0"/>
          <w:bCs/>
          <w:sz w:val="21"/>
          <w:szCs w:val="21"/>
        </w:rPr>
      </w:pPr>
      <w:r>
        <w:rPr>
          <w:rFonts w:ascii="宋体" w:hAnsi="宋体" w:eastAsia="宋体" w:cs="宋体"/>
          <w:b w:val="0"/>
          <w:bCs/>
          <w:sz w:val="21"/>
          <w:szCs w:val="21"/>
        </w:rPr>
        <w:t>d）宜具备防入侵机制，检测到异常访问时自动断开网络连接并通知管理员；</w:t>
      </w:r>
    </w:p>
    <w:p w14:paraId="3A7DE404">
      <w:pPr>
        <w:spacing w:line="240" w:lineRule="auto"/>
        <w:ind w:firstLine="420"/>
        <w:rPr>
          <w:b w:val="0"/>
          <w:bCs/>
          <w:sz w:val="21"/>
          <w:szCs w:val="21"/>
        </w:rPr>
      </w:pPr>
      <w:r>
        <w:rPr>
          <w:rFonts w:ascii="宋体" w:hAnsi="宋体" w:eastAsia="宋体" w:cs="宋体"/>
          <w:b w:val="0"/>
          <w:bCs/>
          <w:sz w:val="21"/>
          <w:szCs w:val="21"/>
        </w:rPr>
        <w:t>e）参考GB/T 35273《信息安全技术　个人信息安全规范》的相关要求。</w:t>
      </w:r>
    </w:p>
    <w:p w14:paraId="6FA1D0F8">
      <w:pPr>
        <w:pStyle w:val="50"/>
        <w:numPr>
          <w:ilvl w:val="1"/>
          <w:numId w:val="0"/>
        </w:numPr>
        <w:bidi w:val="0"/>
        <w:ind w:leftChars="0"/>
      </w:pPr>
      <w:r>
        <w:t>7.5　隐私保护</w:t>
      </w:r>
    </w:p>
    <w:p w14:paraId="7F7B94B8">
      <w:pPr>
        <w:spacing w:line="240" w:lineRule="auto"/>
        <w:ind w:firstLine="420"/>
        <w:rPr>
          <w:b w:val="0"/>
          <w:bCs/>
          <w:sz w:val="21"/>
          <w:szCs w:val="21"/>
        </w:rPr>
      </w:pPr>
      <w:r>
        <w:rPr>
          <w:rFonts w:ascii="宋体" w:hAnsi="宋体" w:eastAsia="宋体" w:cs="宋体"/>
          <w:b w:val="0"/>
          <w:bCs/>
          <w:sz w:val="21"/>
          <w:szCs w:val="21"/>
        </w:rPr>
        <w:t>智能乐龄玩具的隐私保护宜考虑以下方面：</w:t>
      </w:r>
    </w:p>
    <w:p w14:paraId="7057413F">
      <w:pPr>
        <w:spacing w:line="240" w:lineRule="auto"/>
        <w:ind w:firstLine="420"/>
        <w:rPr>
          <w:b w:val="0"/>
          <w:bCs/>
          <w:sz w:val="21"/>
          <w:szCs w:val="21"/>
        </w:rPr>
      </w:pPr>
      <w:r>
        <w:rPr>
          <w:rFonts w:ascii="宋体" w:hAnsi="宋体" w:eastAsia="宋体" w:cs="宋体"/>
          <w:b w:val="0"/>
          <w:bCs/>
          <w:sz w:val="21"/>
          <w:szCs w:val="21"/>
        </w:rPr>
        <w:t>a）语音/图像数据的采集和处理宜在设备端优先完成，减少上传云端的需求；</w:t>
      </w:r>
    </w:p>
    <w:p w14:paraId="56D39C36">
      <w:pPr>
        <w:spacing w:line="240" w:lineRule="auto"/>
        <w:ind w:firstLine="420"/>
        <w:rPr>
          <w:b w:val="0"/>
          <w:bCs/>
          <w:sz w:val="21"/>
          <w:szCs w:val="21"/>
        </w:rPr>
      </w:pPr>
      <w:r>
        <w:rPr>
          <w:rFonts w:ascii="宋体" w:hAnsi="宋体" w:eastAsia="宋体" w:cs="宋体"/>
          <w:b w:val="0"/>
          <w:bCs/>
          <w:sz w:val="21"/>
          <w:szCs w:val="21"/>
        </w:rPr>
        <w:t>b）不宜在未经明确同意的情况下向第三方共享用户数据；</w:t>
      </w:r>
    </w:p>
    <w:p w14:paraId="4390FA7D">
      <w:pPr>
        <w:spacing w:line="240" w:lineRule="auto"/>
        <w:ind w:firstLine="420"/>
        <w:rPr>
          <w:b w:val="0"/>
          <w:bCs/>
          <w:sz w:val="21"/>
          <w:szCs w:val="21"/>
        </w:rPr>
      </w:pPr>
      <w:r>
        <w:rPr>
          <w:rFonts w:ascii="宋体" w:hAnsi="宋体" w:eastAsia="宋体" w:cs="宋体"/>
          <w:b w:val="0"/>
          <w:bCs/>
          <w:sz w:val="21"/>
          <w:szCs w:val="21"/>
        </w:rPr>
        <w:t>c）宜在产品说明书中以图文并茂的方式说明数据使用规则，语言通俗易懂；</w:t>
      </w:r>
    </w:p>
    <w:p w14:paraId="7DF72AEE">
      <w:pPr>
        <w:spacing w:line="240" w:lineRule="auto"/>
        <w:ind w:firstLine="420"/>
        <w:rPr>
          <w:b w:val="0"/>
          <w:bCs/>
          <w:sz w:val="21"/>
          <w:szCs w:val="21"/>
        </w:rPr>
      </w:pPr>
      <w:r>
        <w:rPr>
          <w:rFonts w:ascii="宋体" w:hAnsi="宋体" w:eastAsia="宋体" w:cs="宋体"/>
          <w:b w:val="0"/>
          <w:bCs/>
          <w:sz w:val="21"/>
          <w:szCs w:val="21"/>
        </w:rPr>
        <w:t>d）宜为照护者提供监护管理功能，可设置使用时长上限、禁用时段和内容过滤；</w:t>
      </w:r>
    </w:p>
    <w:p w14:paraId="79EFECD6">
      <w:pPr>
        <w:spacing w:line="240" w:lineRule="auto"/>
        <w:ind w:firstLine="420"/>
        <w:rPr>
          <w:b w:val="0"/>
          <w:bCs/>
          <w:sz w:val="21"/>
          <w:szCs w:val="21"/>
        </w:rPr>
      </w:pPr>
      <w:r>
        <w:rPr>
          <w:rFonts w:ascii="宋体" w:hAnsi="宋体" w:eastAsia="宋体" w:cs="宋体"/>
          <w:b w:val="0"/>
          <w:bCs/>
          <w:sz w:val="21"/>
          <w:szCs w:val="21"/>
        </w:rPr>
        <w:t>e）设备报废或转让前，宜提供一键清除全部用户数据的功能。</w:t>
      </w:r>
    </w:p>
    <w:p w14:paraId="166F80EE">
      <w:pPr>
        <w:pStyle w:val="50"/>
        <w:numPr>
          <w:ilvl w:val="1"/>
          <w:numId w:val="0"/>
        </w:numPr>
        <w:bidi w:val="0"/>
        <w:ind w:leftChars="0"/>
      </w:pPr>
      <w:r>
        <w:t>7.6　紧急响应</w:t>
      </w:r>
    </w:p>
    <w:p w14:paraId="39463ACC">
      <w:pPr>
        <w:spacing w:line="240" w:lineRule="auto"/>
        <w:ind w:firstLine="420"/>
        <w:rPr>
          <w:b w:val="0"/>
          <w:bCs/>
          <w:sz w:val="21"/>
          <w:szCs w:val="21"/>
        </w:rPr>
      </w:pPr>
      <w:r>
        <w:rPr>
          <w:rFonts w:ascii="宋体" w:hAnsi="宋体" w:eastAsia="宋体" w:cs="宋体"/>
          <w:b w:val="0"/>
          <w:bCs/>
          <w:sz w:val="21"/>
          <w:szCs w:val="21"/>
        </w:rPr>
        <w:t>具备照护辅助功能的智能乐龄玩具在紧急响应方面宜考虑以下要点：</w:t>
      </w:r>
    </w:p>
    <w:p w14:paraId="0BFCC9D9">
      <w:pPr>
        <w:spacing w:line="240" w:lineRule="auto"/>
        <w:ind w:firstLine="420"/>
        <w:rPr>
          <w:b w:val="0"/>
          <w:bCs/>
          <w:sz w:val="21"/>
          <w:szCs w:val="21"/>
        </w:rPr>
      </w:pPr>
      <w:r>
        <w:rPr>
          <w:rFonts w:ascii="宋体" w:hAnsi="宋体" w:eastAsia="宋体" w:cs="宋体"/>
          <w:b w:val="0"/>
          <w:bCs/>
          <w:sz w:val="21"/>
          <w:szCs w:val="21"/>
        </w:rPr>
        <w:t>a）宜配备一键紧急呼叫按钮（SOS），按钮面积不小于20 mm×20 mm，颜色为红色，位置醒目；</w:t>
      </w:r>
    </w:p>
    <w:p w14:paraId="08EF0481">
      <w:pPr>
        <w:spacing w:line="240" w:lineRule="auto"/>
        <w:ind w:firstLine="420"/>
        <w:rPr>
          <w:b w:val="0"/>
          <w:bCs/>
          <w:sz w:val="21"/>
          <w:szCs w:val="21"/>
        </w:rPr>
      </w:pPr>
      <w:r>
        <w:rPr>
          <w:rFonts w:ascii="宋体" w:hAnsi="宋体" w:eastAsia="宋体" w:cs="宋体"/>
          <w:b w:val="0"/>
          <w:bCs/>
          <w:sz w:val="21"/>
          <w:szCs w:val="21"/>
        </w:rPr>
        <w:t>b）检测到跌倒事件后，宜在30秒内触发告警通知预设联系人；</w:t>
      </w:r>
    </w:p>
    <w:p w14:paraId="0484F7D2">
      <w:pPr>
        <w:spacing w:line="240" w:lineRule="auto"/>
        <w:ind w:firstLine="420"/>
        <w:rPr>
          <w:b w:val="0"/>
          <w:bCs/>
          <w:sz w:val="21"/>
          <w:szCs w:val="21"/>
        </w:rPr>
      </w:pPr>
      <w:r>
        <w:rPr>
          <w:rFonts w:ascii="宋体" w:hAnsi="宋体" w:eastAsia="宋体" w:cs="宋体"/>
          <w:b w:val="0"/>
          <w:bCs/>
          <w:sz w:val="21"/>
          <w:szCs w:val="21"/>
        </w:rPr>
        <w:t>c）长时间无活动（可配置，默认12小时）宜触发</w:t>
      </w:r>
      <w:r>
        <w:rPr>
          <w:rFonts w:hint="eastAsia" w:cs="宋体"/>
          <w:b w:val="0"/>
          <w:bCs/>
          <w:sz w:val="21"/>
          <w:szCs w:val="21"/>
          <w:lang w:eastAsia="zh-CN"/>
        </w:rPr>
        <w:t>“</w:t>
      </w:r>
      <w:r>
        <w:rPr>
          <w:rFonts w:ascii="宋体" w:hAnsi="宋体" w:eastAsia="宋体" w:cs="宋体"/>
          <w:b w:val="0"/>
          <w:bCs/>
          <w:sz w:val="21"/>
          <w:szCs w:val="21"/>
        </w:rPr>
        <w:t>安全确认</w:t>
      </w:r>
      <w:r>
        <w:rPr>
          <w:rFonts w:hint="eastAsia" w:cs="宋体"/>
          <w:b w:val="0"/>
          <w:bCs/>
          <w:sz w:val="21"/>
          <w:szCs w:val="21"/>
          <w:lang w:eastAsia="zh-CN"/>
        </w:rPr>
        <w:t>”</w:t>
      </w:r>
      <w:r>
        <w:rPr>
          <w:rFonts w:ascii="宋体" w:hAnsi="宋体" w:eastAsia="宋体" w:cs="宋体"/>
          <w:b w:val="0"/>
          <w:bCs/>
          <w:sz w:val="21"/>
          <w:szCs w:val="21"/>
        </w:rPr>
        <w:t>通知；</w:t>
      </w:r>
    </w:p>
    <w:p w14:paraId="30D4E99D">
      <w:pPr>
        <w:spacing w:line="240" w:lineRule="auto"/>
        <w:ind w:firstLine="420"/>
        <w:rPr>
          <w:b w:val="0"/>
          <w:bCs/>
          <w:sz w:val="21"/>
          <w:szCs w:val="21"/>
        </w:rPr>
      </w:pPr>
      <w:r>
        <w:rPr>
          <w:rFonts w:ascii="宋体" w:hAnsi="宋体" w:eastAsia="宋体" w:cs="宋体"/>
          <w:b w:val="0"/>
          <w:bCs/>
          <w:sz w:val="21"/>
          <w:szCs w:val="21"/>
        </w:rPr>
        <w:t>d）紧急呼叫功能宜不依赖网络语音通话，至少支持短信或APP推送方式。</w:t>
      </w:r>
    </w:p>
    <w:p w14:paraId="64C1A79F">
      <w:pPr>
        <w:pStyle w:val="51"/>
        <w:spacing w:before="312" w:after="312"/>
      </w:pPr>
      <w:r>
        <w:t>应用场景与使用方法</w:t>
      </w:r>
    </w:p>
    <w:p w14:paraId="0D7506A8">
      <w:pPr>
        <w:pStyle w:val="50"/>
        <w:spacing w:before="156" w:after="156"/>
      </w:pPr>
      <w:r>
        <w:t>养老机构场景</w:t>
      </w:r>
    </w:p>
    <w:p w14:paraId="0D5B4611">
      <w:pPr>
        <w:pStyle w:val="52"/>
        <w:spacing w:before="156" w:after="156"/>
      </w:pPr>
      <w:r>
        <w:t>环境布置</w:t>
      </w:r>
    </w:p>
    <w:p w14:paraId="29E8A7B6">
      <w:pPr>
        <w:spacing w:line="240" w:lineRule="auto"/>
        <w:ind w:firstLine="420"/>
        <w:rPr>
          <w:b w:val="0"/>
          <w:bCs/>
          <w:sz w:val="21"/>
          <w:szCs w:val="21"/>
        </w:rPr>
      </w:pPr>
      <w:r>
        <w:rPr>
          <w:rFonts w:ascii="宋体" w:hAnsi="宋体" w:eastAsia="宋体" w:cs="宋体"/>
          <w:b w:val="0"/>
          <w:bCs/>
          <w:sz w:val="21"/>
          <w:szCs w:val="21"/>
        </w:rPr>
        <w:t>a）宜设立专门的</w:t>
      </w:r>
      <w:r>
        <w:rPr>
          <w:rFonts w:hint="eastAsia" w:cs="宋体"/>
          <w:b w:val="0"/>
          <w:bCs/>
          <w:sz w:val="21"/>
          <w:szCs w:val="21"/>
          <w:lang w:eastAsia="zh-CN"/>
        </w:rPr>
        <w:t>“</w:t>
      </w:r>
      <w:r>
        <w:rPr>
          <w:rFonts w:ascii="宋体" w:hAnsi="宋体" w:eastAsia="宋体" w:cs="宋体"/>
          <w:b w:val="0"/>
          <w:bCs/>
          <w:sz w:val="21"/>
          <w:szCs w:val="21"/>
        </w:rPr>
        <w:t>乐龄活动区</w:t>
      </w:r>
      <w:r>
        <w:rPr>
          <w:rFonts w:hint="eastAsia" w:cs="宋体"/>
          <w:b w:val="0"/>
          <w:bCs/>
          <w:sz w:val="21"/>
          <w:szCs w:val="21"/>
          <w:lang w:eastAsia="zh-CN"/>
        </w:rPr>
        <w:t>”</w:t>
      </w:r>
      <w:r>
        <w:rPr>
          <w:rFonts w:ascii="宋体" w:hAnsi="宋体" w:eastAsia="宋体" w:cs="宋体"/>
          <w:b w:val="0"/>
          <w:bCs/>
          <w:sz w:val="21"/>
          <w:szCs w:val="21"/>
        </w:rPr>
        <w:t>，面积不少于15 m²，采光良好，噪音控制在45 dB以下；</w:t>
      </w:r>
    </w:p>
    <w:p w14:paraId="2E210686">
      <w:pPr>
        <w:spacing w:line="240" w:lineRule="auto"/>
        <w:ind w:firstLine="420"/>
        <w:rPr>
          <w:b w:val="0"/>
          <w:bCs/>
          <w:sz w:val="21"/>
          <w:szCs w:val="21"/>
        </w:rPr>
      </w:pPr>
      <w:r>
        <w:rPr>
          <w:rFonts w:ascii="宋体" w:hAnsi="宋体" w:eastAsia="宋体" w:cs="宋体"/>
          <w:b w:val="0"/>
          <w:bCs/>
          <w:sz w:val="21"/>
          <w:szCs w:val="21"/>
        </w:rPr>
        <w:t>b）活动区宜配备可调节高度的桌椅（桌面高度65—75 cm），椅子带扶手和靠背；</w:t>
      </w:r>
    </w:p>
    <w:p w14:paraId="2B6DC93C">
      <w:pPr>
        <w:spacing w:line="240" w:lineRule="auto"/>
        <w:ind w:firstLine="420"/>
        <w:rPr>
          <w:b w:val="0"/>
          <w:bCs/>
          <w:sz w:val="21"/>
          <w:szCs w:val="21"/>
        </w:rPr>
      </w:pPr>
      <w:r>
        <w:rPr>
          <w:rFonts w:ascii="宋体" w:hAnsi="宋体" w:eastAsia="宋体" w:cs="宋体"/>
          <w:b w:val="0"/>
          <w:bCs/>
          <w:sz w:val="21"/>
          <w:szCs w:val="21"/>
        </w:rPr>
        <w:t>c）玩具宜分类存放于开放式矮柜中，标签字号不小于24 pt，图文结合；</w:t>
      </w:r>
    </w:p>
    <w:p w14:paraId="5451EC3A">
      <w:pPr>
        <w:spacing w:line="240" w:lineRule="auto"/>
        <w:ind w:firstLine="420"/>
        <w:rPr>
          <w:b w:val="0"/>
          <w:bCs/>
          <w:sz w:val="21"/>
          <w:szCs w:val="21"/>
        </w:rPr>
      </w:pPr>
      <w:r>
        <w:rPr>
          <w:rFonts w:ascii="宋体" w:hAnsi="宋体" w:eastAsia="宋体" w:cs="宋体"/>
          <w:b w:val="0"/>
          <w:bCs/>
          <w:sz w:val="21"/>
          <w:szCs w:val="21"/>
        </w:rPr>
        <w:t>d）避免将不同类型玩具混放，建议按功能分区（如认知训练角、运动角、音乐角）。</w:t>
      </w:r>
    </w:p>
    <w:p w14:paraId="748000D5">
      <w:pPr>
        <w:pStyle w:val="52"/>
        <w:spacing w:before="156" w:after="156"/>
      </w:pPr>
      <w:r>
        <w:t>活动组织方法</w:t>
      </w:r>
    </w:p>
    <w:p w14:paraId="027D0078">
      <w:pPr>
        <w:spacing w:line="240" w:lineRule="auto"/>
        <w:ind w:firstLine="420"/>
        <w:rPr>
          <w:b w:val="0"/>
          <w:bCs/>
          <w:sz w:val="21"/>
          <w:szCs w:val="21"/>
        </w:rPr>
      </w:pPr>
      <w:r>
        <w:rPr>
          <w:rFonts w:ascii="宋体" w:hAnsi="宋体" w:eastAsia="宋体" w:cs="宋体"/>
          <w:b w:val="0"/>
          <w:bCs/>
          <w:sz w:val="21"/>
          <w:szCs w:val="21"/>
        </w:rPr>
        <w:t>a）每日宜安排至少一次结构化玩具活动，时长20—40分钟；</w:t>
      </w:r>
    </w:p>
    <w:p w14:paraId="1C3689F1">
      <w:pPr>
        <w:spacing w:line="240" w:lineRule="auto"/>
        <w:ind w:firstLine="420"/>
        <w:rPr>
          <w:b w:val="0"/>
          <w:bCs/>
          <w:sz w:val="21"/>
          <w:szCs w:val="21"/>
        </w:rPr>
      </w:pPr>
      <w:r>
        <w:rPr>
          <w:rFonts w:ascii="宋体" w:hAnsi="宋体" w:eastAsia="宋体" w:cs="宋体"/>
          <w:b w:val="0"/>
          <w:bCs/>
          <w:sz w:val="21"/>
          <w:szCs w:val="21"/>
        </w:rPr>
        <w:t>b）活动前宜由照护者评估当日认知状态，选择适配玩具；</w:t>
      </w:r>
    </w:p>
    <w:p w14:paraId="6FDD6CE1">
      <w:pPr>
        <w:spacing w:line="240" w:lineRule="auto"/>
        <w:ind w:firstLine="420"/>
        <w:rPr>
          <w:b w:val="0"/>
          <w:bCs/>
          <w:sz w:val="21"/>
          <w:szCs w:val="21"/>
        </w:rPr>
      </w:pPr>
      <w:r>
        <w:rPr>
          <w:rFonts w:ascii="宋体" w:hAnsi="宋体" w:eastAsia="宋体" w:cs="宋体"/>
          <w:b w:val="0"/>
          <w:bCs/>
          <w:sz w:val="21"/>
          <w:szCs w:val="21"/>
        </w:rPr>
        <w:t>c）活动开始时宜进行3—5分钟的热身引导（如简单问候、回顾上次活动）；</w:t>
      </w:r>
    </w:p>
    <w:p w14:paraId="262A6EE6">
      <w:pPr>
        <w:spacing w:line="240" w:lineRule="auto"/>
        <w:ind w:firstLine="420"/>
        <w:rPr>
          <w:b w:val="0"/>
          <w:bCs/>
          <w:sz w:val="21"/>
          <w:szCs w:val="21"/>
        </w:rPr>
      </w:pPr>
      <w:r>
        <w:rPr>
          <w:rFonts w:ascii="宋体" w:hAnsi="宋体" w:eastAsia="宋体" w:cs="宋体"/>
          <w:b w:val="0"/>
          <w:bCs/>
          <w:sz w:val="21"/>
          <w:szCs w:val="21"/>
        </w:rPr>
        <w:t>d）活动中宜观察参与者的情绪和行为反应，适时调整难度或切换玩具；</w:t>
      </w:r>
    </w:p>
    <w:p w14:paraId="38CF45EB">
      <w:pPr>
        <w:spacing w:line="240" w:lineRule="auto"/>
        <w:ind w:firstLine="420"/>
        <w:rPr>
          <w:b w:val="0"/>
          <w:bCs/>
          <w:sz w:val="21"/>
          <w:szCs w:val="21"/>
        </w:rPr>
      </w:pPr>
      <w:r>
        <w:rPr>
          <w:rFonts w:ascii="宋体" w:hAnsi="宋体" w:eastAsia="宋体" w:cs="宋体"/>
          <w:b w:val="0"/>
          <w:bCs/>
          <w:sz w:val="21"/>
          <w:szCs w:val="21"/>
        </w:rPr>
        <w:t>e）代际共玩活动中，不宜将认知障碍人群玩具交由低龄儿童独自玩耍；</w:t>
      </w:r>
    </w:p>
    <w:p w14:paraId="0C434144">
      <w:pPr>
        <w:spacing w:line="240" w:lineRule="auto"/>
        <w:ind w:firstLine="420"/>
        <w:rPr>
          <w:b w:val="0"/>
          <w:bCs/>
          <w:sz w:val="21"/>
          <w:szCs w:val="21"/>
        </w:rPr>
      </w:pPr>
      <w:r>
        <w:rPr>
          <w:rFonts w:ascii="宋体" w:hAnsi="宋体" w:eastAsia="宋体" w:cs="宋体"/>
          <w:b w:val="0"/>
          <w:bCs/>
          <w:sz w:val="21"/>
          <w:szCs w:val="21"/>
        </w:rPr>
        <w:t>f）活动结束后宜进行简短总结，给予积极反馈，记录参与情况。</w:t>
      </w:r>
    </w:p>
    <w:p w14:paraId="15928BEC">
      <w:pPr>
        <w:pStyle w:val="52"/>
        <w:spacing w:before="156" w:after="156"/>
      </w:pPr>
      <w:r>
        <w:t>人员配置</w:t>
      </w:r>
    </w:p>
    <w:p w14:paraId="1D6FA3BC">
      <w:pPr>
        <w:spacing w:line="240" w:lineRule="auto"/>
        <w:ind w:firstLine="420"/>
        <w:rPr>
          <w:b w:val="0"/>
          <w:bCs/>
          <w:sz w:val="21"/>
          <w:szCs w:val="21"/>
        </w:rPr>
      </w:pPr>
      <w:r>
        <w:rPr>
          <w:rFonts w:ascii="宋体" w:hAnsi="宋体" w:eastAsia="宋体" w:cs="宋体"/>
          <w:b w:val="0"/>
          <w:bCs/>
          <w:sz w:val="21"/>
          <w:szCs w:val="21"/>
        </w:rPr>
        <w:t>a）每5—8位认知障碍人群宜配备至少1名经过培训的照护引导员；</w:t>
      </w:r>
    </w:p>
    <w:p w14:paraId="5A117B71">
      <w:pPr>
        <w:spacing w:line="240" w:lineRule="auto"/>
        <w:ind w:firstLine="420"/>
        <w:rPr>
          <w:b w:val="0"/>
          <w:bCs/>
          <w:sz w:val="21"/>
          <w:szCs w:val="21"/>
        </w:rPr>
      </w:pPr>
      <w:r>
        <w:rPr>
          <w:rFonts w:ascii="宋体" w:hAnsi="宋体" w:eastAsia="宋体" w:cs="宋体"/>
          <w:b w:val="0"/>
          <w:bCs/>
          <w:sz w:val="21"/>
          <w:szCs w:val="21"/>
        </w:rPr>
        <w:t>b）引导员宜接受不少于16学时的专项培训，内容包括认知障碍基础知识、玩具使用方法、非药物干预技巧和应急处理；</w:t>
      </w:r>
    </w:p>
    <w:p w14:paraId="34A90636">
      <w:pPr>
        <w:spacing w:line="240" w:lineRule="auto"/>
        <w:ind w:firstLine="420"/>
        <w:rPr>
          <w:b w:val="0"/>
          <w:bCs/>
          <w:sz w:val="21"/>
          <w:szCs w:val="21"/>
        </w:rPr>
      </w:pPr>
      <w:r>
        <w:rPr>
          <w:rFonts w:ascii="宋体" w:hAnsi="宋体" w:eastAsia="宋体" w:cs="宋体"/>
          <w:b w:val="0"/>
          <w:bCs/>
          <w:sz w:val="21"/>
          <w:szCs w:val="21"/>
        </w:rPr>
        <w:t>c）宜定期邀请康复治疗师参与活动设计，确保玩具训练与康复目标一致。</w:t>
      </w:r>
    </w:p>
    <w:p w14:paraId="7332F3AF">
      <w:pPr>
        <w:pStyle w:val="50"/>
        <w:spacing w:before="156" w:after="156"/>
      </w:pPr>
      <w:r>
        <w:t>社区照护中心场景</w:t>
      </w:r>
    </w:p>
    <w:p w14:paraId="485884C1">
      <w:pPr>
        <w:spacing w:line="240" w:lineRule="auto"/>
        <w:ind w:firstLine="420"/>
        <w:rPr>
          <w:b w:val="0"/>
          <w:bCs/>
          <w:sz w:val="21"/>
          <w:szCs w:val="21"/>
        </w:rPr>
      </w:pPr>
      <w:r>
        <w:rPr>
          <w:rFonts w:ascii="宋体" w:hAnsi="宋体" w:eastAsia="宋体" w:cs="宋体"/>
          <w:b w:val="0"/>
          <w:bCs/>
          <w:sz w:val="21"/>
          <w:szCs w:val="21"/>
        </w:rPr>
        <w:t>a）社区日间照料中心宜将乐龄玩具纳入日常活动课程表；</w:t>
      </w:r>
    </w:p>
    <w:p w14:paraId="74AA836C">
      <w:pPr>
        <w:spacing w:line="240" w:lineRule="auto"/>
        <w:ind w:firstLine="420"/>
        <w:rPr>
          <w:b w:val="0"/>
          <w:bCs/>
          <w:sz w:val="21"/>
          <w:szCs w:val="21"/>
        </w:rPr>
      </w:pPr>
      <w:r>
        <w:rPr>
          <w:rFonts w:ascii="宋体" w:hAnsi="宋体" w:eastAsia="宋体" w:cs="宋体"/>
          <w:b w:val="0"/>
          <w:bCs/>
          <w:sz w:val="21"/>
          <w:szCs w:val="21"/>
        </w:rPr>
        <w:t>b）宜定期（至少每月一次）更换玩具种类，保持新鲜感；</w:t>
      </w:r>
    </w:p>
    <w:p w14:paraId="7547384A">
      <w:pPr>
        <w:spacing w:line="240" w:lineRule="auto"/>
        <w:ind w:firstLine="420"/>
        <w:rPr>
          <w:b w:val="0"/>
          <w:bCs/>
          <w:sz w:val="21"/>
          <w:szCs w:val="21"/>
        </w:rPr>
      </w:pPr>
      <w:r>
        <w:rPr>
          <w:rFonts w:ascii="宋体" w:hAnsi="宋体" w:eastAsia="宋体" w:cs="宋体"/>
          <w:b w:val="0"/>
          <w:bCs/>
          <w:sz w:val="21"/>
          <w:szCs w:val="21"/>
        </w:rPr>
        <w:t>c）可组织代际共玩活动，邀请儿童与认知障碍人群共同游戏；开展该类活动宜选用本文件定义的代际乐龄玩具，同时做好现场监护，规避儿童使用风险；</w:t>
      </w:r>
    </w:p>
    <w:p w14:paraId="10CDB491">
      <w:pPr>
        <w:spacing w:line="240" w:lineRule="auto"/>
        <w:ind w:firstLine="420"/>
        <w:rPr>
          <w:b w:val="0"/>
          <w:bCs/>
          <w:sz w:val="21"/>
          <w:szCs w:val="21"/>
        </w:rPr>
      </w:pPr>
      <w:r>
        <w:rPr>
          <w:rFonts w:ascii="宋体" w:hAnsi="宋体" w:eastAsia="宋体" w:cs="宋体"/>
          <w:b w:val="0"/>
          <w:bCs/>
          <w:sz w:val="21"/>
          <w:szCs w:val="21"/>
        </w:rPr>
        <w:t>d）宜建立玩具使用档案，记录每位参与者的偏好和进展。</w:t>
      </w:r>
    </w:p>
    <w:p w14:paraId="45FCD3CD">
      <w:pPr>
        <w:pStyle w:val="50"/>
        <w:spacing w:before="156" w:after="156"/>
      </w:pPr>
      <w:r>
        <w:t>家庭照护场景</w:t>
      </w:r>
    </w:p>
    <w:p w14:paraId="746DF7C0">
      <w:pPr>
        <w:spacing w:line="240" w:lineRule="auto"/>
        <w:ind w:firstLine="420"/>
        <w:rPr>
          <w:b w:val="0"/>
          <w:bCs/>
          <w:sz w:val="21"/>
          <w:szCs w:val="21"/>
        </w:rPr>
      </w:pPr>
      <w:r>
        <w:rPr>
          <w:rFonts w:ascii="宋体" w:hAnsi="宋体" w:eastAsia="宋体" w:cs="宋体"/>
          <w:b w:val="0"/>
          <w:bCs/>
          <w:sz w:val="21"/>
          <w:szCs w:val="21"/>
        </w:rPr>
        <w:t>a）家庭照护者宜在专业指导下选择适合家人的乐龄玩具；</w:t>
      </w:r>
    </w:p>
    <w:p w14:paraId="4C926F14">
      <w:pPr>
        <w:spacing w:line="240" w:lineRule="auto"/>
        <w:ind w:firstLine="420"/>
        <w:rPr>
          <w:b w:val="0"/>
          <w:bCs/>
          <w:sz w:val="21"/>
          <w:szCs w:val="21"/>
        </w:rPr>
      </w:pPr>
      <w:r>
        <w:rPr>
          <w:rFonts w:ascii="宋体" w:hAnsi="宋体" w:eastAsia="宋体" w:cs="宋体"/>
          <w:b w:val="0"/>
          <w:bCs/>
          <w:sz w:val="21"/>
          <w:szCs w:val="21"/>
        </w:rPr>
        <w:t>b）每日宜安排1—2次、每次15—30分钟的玩具互动时间；</w:t>
      </w:r>
    </w:p>
    <w:p w14:paraId="76853EFF">
      <w:pPr>
        <w:spacing w:line="240" w:lineRule="auto"/>
        <w:ind w:firstLine="420"/>
        <w:rPr>
          <w:b w:val="0"/>
          <w:bCs/>
          <w:sz w:val="21"/>
          <w:szCs w:val="21"/>
        </w:rPr>
      </w:pPr>
      <w:r>
        <w:rPr>
          <w:rFonts w:ascii="宋体" w:hAnsi="宋体" w:eastAsia="宋体" w:cs="宋体"/>
          <w:b w:val="0"/>
          <w:bCs/>
          <w:sz w:val="21"/>
          <w:szCs w:val="21"/>
        </w:rPr>
        <w:t>c）智能玩具的数据报告宜定期（建议每周）与家人分享，作为就医参考；</w:t>
      </w:r>
    </w:p>
    <w:p w14:paraId="51241084">
      <w:pPr>
        <w:spacing w:line="240" w:lineRule="auto"/>
        <w:ind w:firstLine="420"/>
        <w:rPr>
          <w:b w:val="0"/>
          <w:bCs/>
          <w:sz w:val="21"/>
          <w:szCs w:val="21"/>
        </w:rPr>
      </w:pPr>
      <w:r>
        <w:rPr>
          <w:rFonts w:ascii="宋体" w:hAnsi="宋体" w:eastAsia="宋体" w:cs="宋体"/>
          <w:b w:val="0"/>
          <w:bCs/>
          <w:sz w:val="21"/>
          <w:szCs w:val="21"/>
        </w:rPr>
        <w:t>d）照护者自身宜接受基础培训，学习如何正确引导和鼓励，避免替代完成或过度协助；</w:t>
      </w:r>
    </w:p>
    <w:p w14:paraId="7D7DF59A">
      <w:pPr>
        <w:spacing w:line="240" w:lineRule="auto"/>
        <w:ind w:firstLine="420"/>
        <w:rPr>
          <w:b w:val="0"/>
          <w:bCs/>
          <w:sz w:val="21"/>
          <w:szCs w:val="21"/>
        </w:rPr>
      </w:pPr>
      <w:r>
        <w:rPr>
          <w:rFonts w:ascii="宋体" w:hAnsi="宋体" w:eastAsia="宋体" w:cs="宋体"/>
          <w:b w:val="0"/>
          <w:bCs/>
          <w:sz w:val="21"/>
          <w:szCs w:val="21"/>
        </w:rPr>
        <w:t>e）宜将玩具使用融入日常生活流程（如饭后、睡前），形成稳定的生活节律。</w:t>
      </w:r>
    </w:p>
    <w:p w14:paraId="181F4133">
      <w:pPr>
        <w:pStyle w:val="50"/>
        <w:spacing w:before="156" w:after="156"/>
      </w:pPr>
      <w:r>
        <w:t>康复场景</w:t>
      </w:r>
    </w:p>
    <w:p w14:paraId="134E650F">
      <w:pPr>
        <w:spacing w:line="240" w:lineRule="auto"/>
        <w:ind w:firstLine="420"/>
        <w:rPr>
          <w:b w:val="0"/>
          <w:bCs/>
          <w:sz w:val="21"/>
          <w:szCs w:val="21"/>
        </w:rPr>
      </w:pPr>
      <w:r>
        <w:rPr>
          <w:rFonts w:ascii="宋体" w:hAnsi="宋体" w:eastAsia="宋体" w:cs="宋体"/>
          <w:b w:val="0"/>
          <w:bCs/>
          <w:sz w:val="21"/>
          <w:szCs w:val="21"/>
        </w:rPr>
        <w:t>a）康复机构可结合作业治疗、认知训练课程，将乐龄玩具作为非药物干预的辅助工具；</w:t>
      </w:r>
    </w:p>
    <w:p w14:paraId="5ADB5F32">
      <w:pPr>
        <w:spacing w:line="240" w:lineRule="auto"/>
        <w:ind w:firstLine="420"/>
        <w:rPr>
          <w:b w:val="0"/>
          <w:bCs/>
          <w:sz w:val="21"/>
          <w:szCs w:val="21"/>
        </w:rPr>
      </w:pPr>
      <w:r>
        <w:rPr>
          <w:rFonts w:ascii="宋体" w:hAnsi="宋体" w:eastAsia="宋体" w:cs="宋体"/>
          <w:b w:val="0"/>
          <w:bCs/>
          <w:sz w:val="21"/>
          <w:szCs w:val="21"/>
        </w:rPr>
        <w:t>b）玩具训练宜由作业治疗师或康复指导人员根据个体评估结果制定方案；</w:t>
      </w:r>
    </w:p>
    <w:p w14:paraId="661C194C">
      <w:pPr>
        <w:spacing w:line="240" w:lineRule="auto"/>
        <w:ind w:firstLine="420"/>
        <w:rPr>
          <w:b w:val="0"/>
          <w:bCs/>
          <w:sz w:val="21"/>
          <w:szCs w:val="21"/>
        </w:rPr>
      </w:pPr>
      <w:r>
        <w:rPr>
          <w:rFonts w:ascii="宋体" w:hAnsi="宋体" w:eastAsia="宋体" w:cs="宋体"/>
          <w:b w:val="0"/>
          <w:bCs/>
          <w:sz w:val="21"/>
          <w:szCs w:val="21"/>
        </w:rPr>
        <w:t>c）训练前后宜进行标准化评估，量化干预效果；</w:t>
      </w:r>
    </w:p>
    <w:p w14:paraId="19FA2C65">
      <w:pPr>
        <w:spacing w:line="240" w:lineRule="auto"/>
        <w:ind w:firstLine="420"/>
        <w:rPr>
          <w:b w:val="0"/>
          <w:bCs/>
          <w:sz w:val="21"/>
          <w:szCs w:val="21"/>
        </w:rPr>
      </w:pPr>
      <w:r>
        <w:rPr>
          <w:rFonts w:ascii="宋体" w:hAnsi="宋体" w:eastAsia="宋体" w:cs="宋体"/>
          <w:b w:val="0"/>
          <w:bCs/>
          <w:sz w:val="21"/>
          <w:szCs w:val="21"/>
        </w:rPr>
        <w:t>d）智能玩具的数据可作为康复进展观察的辅助参考。</w:t>
      </w:r>
    </w:p>
    <w:p w14:paraId="6A1DBCE5">
      <w:pPr>
        <w:pStyle w:val="51"/>
        <w:spacing w:before="312" w:after="312"/>
      </w:pPr>
      <w:r>
        <w:t>安全性</w:t>
      </w:r>
    </w:p>
    <w:p w14:paraId="20352F56">
      <w:pPr>
        <w:pStyle w:val="50"/>
        <w:spacing w:before="156" w:after="156"/>
      </w:pPr>
      <w:r>
        <w:t>物理安全</w:t>
      </w:r>
    </w:p>
    <w:p w14:paraId="36EB55BB">
      <w:pPr>
        <w:spacing w:line="240" w:lineRule="auto"/>
        <w:ind w:firstLine="420"/>
        <w:rPr>
          <w:b w:val="0"/>
          <w:bCs/>
          <w:sz w:val="21"/>
          <w:szCs w:val="21"/>
        </w:rPr>
      </w:pPr>
      <w:r>
        <w:rPr>
          <w:rFonts w:ascii="宋体" w:hAnsi="宋体" w:eastAsia="宋体" w:cs="宋体"/>
          <w:b w:val="0"/>
          <w:bCs/>
          <w:sz w:val="21"/>
          <w:szCs w:val="21"/>
        </w:rPr>
        <w:t>a）所有乐龄玩具应符合GB 6675.1—2025的基本安全要求；</w:t>
      </w:r>
    </w:p>
    <w:p w14:paraId="247D4027">
      <w:pPr>
        <w:spacing w:line="240" w:lineRule="auto"/>
        <w:ind w:firstLine="420"/>
        <w:rPr>
          <w:b w:val="0"/>
          <w:bCs/>
          <w:sz w:val="21"/>
          <w:szCs w:val="21"/>
        </w:rPr>
      </w:pPr>
      <w:r>
        <w:rPr>
          <w:rFonts w:ascii="宋体" w:hAnsi="宋体" w:eastAsia="宋体" w:cs="宋体"/>
          <w:b w:val="0"/>
          <w:bCs/>
          <w:sz w:val="21"/>
          <w:szCs w:val="21"/>
        </w:rPr>
        <w:t>b）小部件（可完全放入直径31.7 mm测试圆筒的部件）不应存在于面向中度和重度认知障碍人群的玩具中；</w:t>
      </w:r>
    </w:p>
    <w:p w14:paraId="1E5D30F4">
      <w:pPr>
        <w:spacing w:line="240" w:lineRule="auto"/>
        <w:ind w:firstLine="420"/>
        <w:rPr>
          <w:b w:val="0"/>
          <w:bCs/>
          <w:sz w:val="21"/>
          <w:szCs w:val="21"/>
        </w:rPr>
      </w:pPr>
      <w:r>
        <w:rPr>
          <w:rFonts w:ascii="宋体" w:hAnsi="宋体" w:eastAsia="宋体" w:cs="宋体"/>
          <w:b w:val="0"/>
          <w:bCs/>
          <w:sz w:val="21"/>
          <w:szCs w:val="21"/>
        </w:rPr>
        <w:t>c）边缘和尖端宜圆滑处理，曲率半径不小于2 mm；</w:t>
      </w:r>
    </w:p>
    <w:p w14:paraId="40CF9086">
      <w:pPr>
        <w:spacing w:line="240" w:lineRule="auto"/>
        <w:ind w:firstLine="420"/>
        <w:rPr>
          <w:b w:val="0"/>
          <w:bCs/>
          <w:sz w:val="21"/>
          <w:szCs w:val="21"/>
        </w:rPr>
      </w:pPr>
      <w:r>
        <w:rPr>
          <w:rFonts w:ascii="宋体" w:hAnsi="宋体" w:eastAsia="宋体" w:cs="宋体"/>
          <w:b w:val="0"/>
          <w:bCs/>
          <w:sz w:val="21"/>
          <w:szCs w:val="21"/>
        </w:rPr>
        <w:t>d）绳索和弹性绳长度不宜超过220 mm，防止缠绕风险；</w:t>
      </w:r>
    </w:p>
    <w:p w14:paraId="3DA727C7">
      <w:pPr>
        <w:spacing w:line="240" w:lineRule="auto"/>
        <w:ind w:firstLine="420"/>
        <w:rPr>
          <w:b w:val="0"/>
          <w:bCs/>
          <w:sz w:val="21"/>
          <w:szCs w:val="21"/>
        </w:rPr>
      </w:pPr>
      <w:r>
        <w:rPr>
          <w:rFonts w:ascii="宋体" w:hAnsi="宋体" w:eastAsia="宋体" w:cs="宋体"/>
          <w:b w:val="0"/>
          <w:bCs/>
          <w:sz w:val="21"/>
          <w:szCs w:val="21"/>
        </w:rPr>
        <w:t>e）磁性部件宜牢固嵌入，单个磁体磁通量指数不超过50 kG²·mm²，防止误吞后体内相互吸引。</w:t>
      </w:r>
    </w:p>
    <w:p w14:paraId="16729D46">
      <w:pPr>
        <w:spacing w:line="240" w:lineRule="auto"/>
        <w:ind w:firstLine="420"/>
        <w:rPr>
          <w:b w:val="0"/>
          <w:bCs/>
          <w:sz w:val="21"/>
          <w:szCs w:val="21"/>
        </w:rPr>
      </w:pPr>
      <w:r>
        <w:rPr>
          <w:rFonts w:ascii="宋体" w:hAnsi="宋体" w:eastAsia="宋体" w:cs="宋体"/>
          <w:b w:val="0"/>
          <w:bCs/>
          <w:sz w:val="21"/>
          <w:szCs w:val="21"/>
        </w:rPr>
        <w:t>注：代际乐龄玩具无论面向老人适配何种分期，均应执行GB 6675系列对小零件、绳索、磁体等全部儿童安全强制限值。</w:t>
      </w:r>
    </w:p>
    <w:p w14:paraId="2CE95981">
      <w:pPr>
        <w:pStyle w:val="50"/>
        <w:spacing w:before="156" w:after="156"/>
      </w:pPr>
      <w:r>
        <w:t>化学安全</w:t>
      </w:r>
    </w:p>
    <w:p w14:paraId="43AD6B9F">
      <w:pPr>
        <w:spacing w:line="240" w:lineRule="auto"/>
        <w:ind w:firstLine="420"/>
        <w:rPr>
          <w:b w:val="0"/>
          <w:bCs/>
          <w:sz w:val="21"/>
          <w:szCs w:val="21"/>
        </w:rPr>
      </w:pPr>
      <w:r>
        <w:rPr>
          <w:rFonts w:ascii="宋体" w:hAnsi="宋体" w:eastAsia="宋体" w:cs="宋体"/>
          <w:b w:val="0"/>
          <w:bCs/>
          <w:sz w:val="21"/>
          <w:szCs w:val="21"/>
        </w:rPr>
        <w:t>a）玩具材料宜符合GB 6675.4—2025对可迁移元素（铅、镉、汞等）的限量要求；</w:t>
      </w:r>
    </w:p>
    <w:p w14:paraId="3FB29373">
      <w:pPr>
        <w:spacing w:line="240" w:lineRule="auto"/>
        <w:ind w:firstLine="420"/>
        <w:rPr>
          <w:b w:val="0"/>
          <w:bCs/>
          <w:sz w:val="21"/>
          <w:szCs w:val="21"/>
        </w:rPr>
      </w:pPr>
      <w:r>
        <w:rPr>
          <w:rFonts w:ascii="宋体" w:hAnsi="宋体" w:eastAsia="宋体" w:cs="宋体"/>
          <w:b w:val="0"/>
          <w:bCs/>
          <w:sz w:val="21"/>
          <w:szCs w:val="21"/>
        </w:rPr>
        <w:t>b）涂料和油墨宜为水性环保配方；毛绒、布艺类玩具的甲醛释放量宜符合GB 6675.1—2025的相关要求；</w:t>
      </w:r>
    </w:p>
    <w:p w14:paraId="0F8E0C89">
      <w:pPr>
        <w:spacing w:line="240" w:lineRule="auto"/>
        <w:ind w:firstLine="420"/>
        <w:rPr>
          <w:b w:val="0"/>
          <w:bCs/>
          <w:sz w:val="21"/>
          <w:szCs w:val="21"/>
        </w:rPr>
      </w:pPr>
      <w:r>
        <w:rPr>
          <w:rFonts w:ascii="宋体" w:hAnsi="宋体" w:eastAsia="宋体" w:cs="宋体"/>
          <w:b w:val="0"/>
          <w:bCs/>
          <w:sz w:val="21"/>
          <w:szCs w:val="21"/>
        </w:rPr>
        <w:t>c）毛绒玩具填充物宜可水洗，抗菌防霉处理符合相关标准；</w:t>
      </w:r>
    </w:p>
    <w:p w14:paraId="694CAF30">
      <w:pPr>
        <w:spacing w:line="240" w:lineRule="auto"/>
        <w:ind w:firstLine="420"/>
        <w:rPr>
          <w:b w:val="0"/>
          <w:bCs/>
          <w:sz w:val="21"/>
          <w:szCs w:val="21"/>
        </w:rPr>
      </w:pPr>
      <w:r>
        <w:rPr>
          <w:rFonts w:ascii="宋体" w:hAnsi="宋体" w:eastAsia="宋体" w:cs="宋体"/>
          <w:b w:val="0"/>
          <w:bCs/>
          <w:sz w:val="21"/>
          <w:szCs w:val="21"/>
        </w:rPr>
        <w:t>d）不宜使用邻苯二甲酸酯类增塑剂含量超过0.1%的塑料材料。</w:t>
      </w:r>
    </w:p>
    <w:p w14:paraId="6681A884">
      <w:pPr>
        <w:pStyle w:val="50"/>
        <w:spacing w:before="156" w:after="156"/>
      </w:pPr>
      <w:r>
        <w:t>电气安全</w:t>
      </w:r>
    </w:p>
    <w:p w14:paraId="43F2AE6C">
      <w:pPr>
        <w:spacing w:line="240" w:lineRule="auto"/>
        <w:ind w:firstLine="420"/>
        <w:rPr>
          <w:b w:val="0"/>
          <w:bCs/>
          <w:sz w:val="21"/>
          <w:szCs w:val="21"/>
        </w:rPr>
      </w:pPr>
      <w:r>
        <w:rPr>
          <w:rFonts w:ascii="宋体" w:hAnsi="宋体" w:eastAsia="宋体" w:cs="宋体"/>
          <w:b w:val="0"/>
          <w:bCs/>
          <w:sz w:val="21"/>
          <w:szCs w:val="21"/>
        </w:rPr>
        <w:t>a）电动/电子玩具宜符合GB 6675.2—2025中电气性能相关要求；</w:t>
      </w:r>
    </w:p>
    <w:p w14:paraId="3EDD1F22">
      <w:pPr>
        <w:spacing w:line="240" w:lineRule="auto"/>
        <w:ind w:firstLine="420"/>
        <w:rPr>
          <w:b w:val="0"/>
          <w:bCs/>
          <w:sz w:val="21"/>
          <w:szCs w:val="21"/>
        </w:rPr>
      </w:pPr>
      <w:r>
        <w:rPr>
          <w:rFonts w:ascii="宋体" w:hAnsi="宋体" w:eastAsia="宋体" w:cs="宋体"/>
          <w:b w:val="0"/>
          <w:bCs/>
          <w:sz w:val="21"/>
          <w:szCs w:val="21"/>
        </w:rPr>
        <w:t>b）电池仓宜采用工具开启或隐藏式设计，防止认知障碍人群自行拆卸导致电池吞咽或电解液泄漏；</w:t>
      </w:r>
    </w:p>
    <w:p w14:paraId="021E64FF">
      <w:pPr>
        <w:spacing w:line="240" w:lineRule="auto"/>
        <w:ind w:firstLine="420"/>
        <w:rPr>
          <w:b w:val="0"/>
          <w:bCs/>
          <w:sz w:val="21"/>
          <w:szCs w:val="21"/>
        </w:rPr>
      </w:pPr>
      <w:r>
        <w:rPr>
          <w:rFonts w:ascii="宋体" w:hAnsi="宋体" w:eastAsia="宋体" w:cs="宋体"/>
          <w:b w:val="0"/>
          <w:bCs/>
          <w:sz w:val="21"/>
          <w:szCs w:val="21"/>
        </w:rPr>
        <w:t>c）充电接口宜采用低电压（≤5 V），配备过充、过放、短路保护；</w:t>
      </w:r>
    </w:p>
    <w:p w14:paraId="3F4F07F3">
      <w:pPr>
        <w:spacing w:line="240" w:lineRule="auto"/>
        <w:ind w:firstLine="420"/>
        <w:rPr>
          <w:b w:val="0"/>
          <w:bCs/>
          <w:sz w:val="21"/>
          <w:szCs w:val="21"/>
        </w:rPr>
      </w:pPr>
      <w:r>
        <w:rPr>
          <w:rFonts w:ascii="宋体" w:hAnsi="宋体" w:eastAsia="宋体" w:cs="宋体"/>
          <w:b w:val="0"/>
          <w:bCs/>
          <w:sz w:val="21"/>
          <w:szCs w:val="21"/>
        </w:rPr>
        <w:t>d）无线发射功率宜符合工信部相关规定（2.4 GHz频段发射功率≤10 dBm）；</w:t>
      </w:r>
    </w:p>
    <w:p w14:paraId="59A1986E">
      <w:pPr>
        <w:spacing w:line="240" w:lineRule="auto"/>
        <w:ind w:firstLine="420"/>
        <w:rPr>
          <w:b w:val="0"/>
          <w:bCs/>
          <w:sz w:val="21"/>
          <w:szCs w:val="21"/>
        </w:rPr>
      </w:pPr>
      <w:r>
        <w:rPr>
          <w:rFonts w:ascii="宋体" w:hAnsi="宋体" w:eastAsia="宋体" w:cs="宋体"/>
          <w:b w:val="0"/>
          <w:bCs/>
          <w:sz w:val="21"/>
          <w:szCs w:val="21"/>
        </w:rPr>
        <w:t>e）设备表面温度不宜超过41 ℃，防止烫伤。</w:t>
      </w:r>
    </w:p>
    <w:p w14:paraId="5AF0808F">
      <w:pPr>
        <w:pStyle w:val="50"/>
        <w:spacing w:before="156" w:after="156"/>
      </w:pPr>
      <w:r>
        <w:t>人体工学</w:t>
      </w:r>
    </w:p>
    <w:p w14:paraId="25E0B31C">
      <w:pPr>
        <w:spacing w:line="240" w:lineRule="auto"/>
        <w:ind w:firstLine="420"/>
        <w:rPr>
          <w:b w:val="0"/>
          <w:bCs/>
          <w:sz w:val="21"/>
          <w:szCs w:val="21"/>
        </w:rPr>
      </w:pPr>
      <w:r>
        <w:rPr>
          <w:rFonts w:ascii="宋体" w:hAnsi="宋体" w:eastAsia="宋体" w:cs="宋体"/>
          <w:b w:val="0"/>
          <w:bCs/>
          <w:sz w:val="21"/>
          <w:szCs w:val="21"/>
        </w:rPr>
        <w:t>a）单件玩具重量不宜超过500 g（手持类）或2 kg（桌面类）；</w:t>
      </w:r>
    </w:p>
    <w:p w14:paraId="64F03807">
      <w:pPr>
        <w:spacing w:line="240" w:lineRule="auto"/>
        <w:ind w:firstLine="420"/>
        <w:rPr>
          <w:b w:val="0"/>
          <w:bCs/>
          <w:sz w:val="21"/>
          <w:szCs w:val="21"/>
        </w:rPr>
      </w:pPr>
      <w:r>
        <w:rPr>
          <w:rFonts w:ascii="宋体" w:hAnsi="宋体" w:eastAsia="宋体" w:cs="宋体"/>
          <w:b w:val="0"/>
          <w:bCs/>
          <w:sz w:val="21"/>
          <w:szCs w:val="21"/>
        </w:rPr>
        <w:t>b）握持部件宜符合老年人手部尺寸特征（握围周长120—180 mm）；</w:t>
      </w:r>
    </w:p>
    <w:p w14:paraId="1B011E7C">
      <w:pPr>
        <w:spacing w:line="240" w:lineRule="auto"/>
        <w:ind w:firstLine="420"/>
        <w:rPr>
          <w:b w:val="0"/>
          <w:bCs/>
          <w:sz w:val="21"/>
          <w:szCs w:val="21"/>
        </w:rPr>
      </w:pPr>
      <w:r>
        <w:rPr>
          <w:rFonts w:ascii="宋体" w:hAnsi="宋体" w:eastAsia="宋体" w:cs="宋体"/>
          <w:b w:val="0"/>
          <w:bCs/>
          <w:sz w:val="21"/>
          <w:szCs w:val="21"/>
        </w:rPr>
        <w:t>c）操作力度宜适应老年肌力水平（按键按压力度0.5—3 N，旋钮扭矩0.02—0.05 N·m）；</w:t>
      </w:r>
    </w:p>
    <w:p w14:paraId="40D619C0">
      <w:pPr>
        <w:spacing w:line="240" w:lineRule="auto"/>
        <w:ind w:firstLine="420"/>
        <w:rPr>
          <w:b w:val="0"/>
          <w:bCs/>
          <w:sz w:val="21"/>
          <w:szCs w:val="21"/>
        </w:rPr>
      </w:pPr>
      <w:r>
        <w:rPr>
          <w:rFonts w:ascii="宋体" w:hAnsi="宋体" w:eastAsia="宋体" w:cs="宋体"/>
          <w:b w:val="0"/>
          <w:bCs/>
          <w:sz w:val="21"/>
          <w:szCs w:val="21"/>
        </w:rPr>
        <w:t>d）避免需要精细指尖操作的设计（如小于5 mm的按钮），宜用全手掌按压或握持方式。</w:t>
      </w:r>
    </w:p>
    <w:p w14:paraId="6B17E21A">
      <w:pPr>
        <w:pStyle w:val="50"/>
        <w:spacing w:before="156" w:after="156"/>
      </w:pPr>
      <w:r>
        <w:t>心理安全与尊严保护</w:t>
      </w:r>
    </w:p>
    <w:p w14:paraId="21977158">
      <w:pPr>
        <w:spacing w:line="240" w:lineRule="auto"/>
        <w:ind w:firstLine="420"/>
        <w:rPr>
          <w:b w:val="0"/>
          <w:bCs/>
          <w:sz w:val="21"/>
          <w:szCs w:val="21"/>
        </w:rPr>
      </w:pPr>
      <w:r>
        <w:rPr>
          <w:rFonts w:ascii="宋体" w:hAnsi="宋体" w:eastAsia="宋体" w:cs="宋体"/>
          <w:b w:val="0"/>
          <w:bCs/>
          <w:sz w:val="21"/>
          <w:szCs w:val="21"/>
        </w:rPr>
        <w:t>a）玩具外观设计宜避免</w:t>
      </w:r>
      <w:r>
        <w:rPr>
          <w:rFonts w:hint="eastAsia" w:cs="宋体"/>
          <w:b w:val="0"/>
          <w:bCs/>
          <w:sz w:val="21"/>
          <w:szCs w:val="21"/>
          <w:lang w:eastAsia="zh-CN"/>
        </w:rPr>
        <w:t>“</w:t>
      </w:r>
      <w:r>
        <w:rPr>
          <w:rFonts w:ascii="宋体" w:hAnsi="宋体" w:eastAsia="宋体" w:cs="宋体"/>
          <w:b w:val="0"/>
          <w:bCs/>
          <w:sz w:val="21"/>
          <w:szCs w:val="21"/>
        </w:rPr>
        <w:t>低幼化</w:t>
      </w:r>
      <w:r>
        <w:rPr>
          <w:rFonts w:hint="eastAsia" w:cs="宋体"/>
          <w:b w:val="0"/>
          <w:bCs/>
          <w:sz w:val="21"/>
          <w:szCs w:val="21"/>
          <w:lang w:eastAsia="zh-CN"/>
        </w:rPr>
        <w:t>”</w:t>
      </w:r>
      <w:r>
        <w:rPr>
          <w:rFonts w:ascii="宋体" w:hAnsi="宋体" w:eastAsia="宋体" w:cs="宋体"/>
          <w:b w:val="0"/>
          <w:bCs/>
          <w:sz w:val="21"/>
          <w:szCs w:val="21"/>
        </w:rPr>
        <w:t>（如过度使用卡通形象、鲜艳饱和色块），尊重成年人的审美尊严；</w:t>
      </w:r>
    </w:p>
    <w:p w14:paraId="535105FA">
      <w:pPr>
        <w:spacing w:line="240" w:lineRule="auto"/>
        <w:ind w:firstLine="420"/>
        <w:rPr>
          <w:b w:val="0"/>
          <w:bCs/>
          <w:sz w:val="21"/>
          <w:szCs w:val="21"/>
        </w:rPr>
      </w:pPr>
      <w:r>
        <w:rPr>
          <w:rFonts w:ascii="宋体" w:hAnsi="宋体" w:eastAsia="宋体" w:cs="宋体"/>
          <w:b w:val="0"/>
          <w:bCs/>
          <w:sz w:val="21"/>
          <w:szCs w:val="21"/>
        </w:rPr>
        <w:t>b）包装和说明书不宜使用</w:t>
      </w:r>
      <w:r>
        <w:rPr>
          <w:rFonts w:hint="eastAsia" w:cs="宋体"/>
          <w:b w:val="0"/>
          <w:bCs/>
          <w:sz w:val="21"/>
          <w:szCs w:val="21"/>
          <w:lang w:eastAsia="zh-CN"/>
        </w:rPr>
        <w:t>“</w:t>
      </w:r>
      <w:r>
        <w:rPr>
          <w:rFonts w:ascii="宋体" w:hAnsi="宋体" w:eastAsia="宋体" w:cs="宋体"/>
          <w:b w:val="0"/>
          <w:bCs/>
          <w:sz w:val="21"/>
          <w:szCs w:val="21"/>
        </w:rPr>
        <w:t>像小孩子一样玩</w:t>
      </w:r>
      <w:r>
        <w:rPr>
          <w:rFonts w:hint="eastAsia" w:cs="宋体"/>
          <w:b w:val="0"/>
          <w:bCs/>
          <w:sz w:val="21"/>
          <w:szCs w:val="21"/>
          <w:lang w:eastAsia="zh-CN"/>
        </w:rPr>
        <w:t>”</w:t>
      </w:r>
      <w:r>
        <w:rPr>
          <w:rFonts w:ascii="宋体" w:hAnsi="宋体" w:eastAsia="宋体" w:cs="宋体"/>
          <w:b w:val="0"/>
          <w:bCs/>
          <w:sz w:val="21"/>
          <w:szCs w:val="21"/>
        </w:rPr>
        <w:t>等暗示性语言；</w:t>
      </w:r>
    </w:p>
    <w:p w14:paraId="7665609E">
      <w:pPr>
        <w:spacing w:line="240" w:lineRule="auto"/>
        <w:ind w:firstLine="420"/>
        <w:rPr>
          <w:b w:val="0"/>
          <w:bCs/>
          <w:sz w:val="21"/>
          <w:szCs w:val="21"/>
        </w:rPr>
      </w:pPr>
      <w:r>
        <w:rPr>
          <w:rFonts w:ascii="宋体" w:hAnsi="宋体" w:eastAsia="宋体" w:cs="宋体"/>
          <w:b w:val="0"/>
          <w:bCs/>
          <w:sz w:val="21"/>
          <w:szCs w:val="21"/>
        </w:rPr>
        <w:t>c）智能玩具的语音提示语宜避免居高临下的语气（如</w:t>
      </w:r>
      <w:r>
        <w:rPr>
          <w:rFonts w:hint="eastAsia" w:cs="宋体"/>
          <w:b w:val="0"/>
          <w:bCs/>
          <w:sz w:val="21"/>
          <w:szCs w:val="21"/>
          <w:lang w:eastAsia="zh-CN"/>
        </w:rPr>
        <w:t>“</w:t>
      </w:r>
      <w:r>
        <w:rPr>
          <w:rFonts w:ascii="宋体" w:hAnsi="宋体" w:eastAsia="宋体" w:cs="宋体"/>
          <w:b w:val="0"/>
          <w:bCs/>
          <w:sz w:val="21"/>
          <w:szCs w:val="21"/>
        </w:rPr>
        <w:t>你真棒，再做一次</w:t>
      </w:r>
      <w:r>
        <w:rPr>
          <w:rFonts w:hint="eastAsia" w:cs="宋体"/>
          <w:b w:val="0"/>
          <w:bCs/>
          <w:sz w:val="21"/>
          <w:szCs w:val="21"/>
          <w:lang w:eastAsia="zh-CN"/>
        </w:rPr>
        <w:t>”</w:t>
      </w:r>
      <w:r>
        <w:rPr>
          <w:rFonts w:ascii="宋体" w:hAnsi="宋体" w:eastAsia="宋体" w:cs="宋体"/>
          <w:b w:val="0"/>
          <w:bCs/>
          <w:sz w:val="21"/>
          <w:szCs w:val="21"/>
        </w:rPr>
        <w:t>），改用尊重性表达（如</w:t>
      </w:r>
      <w:r>
        <w:rPr>
          <w:rFonts w:hint="eastAsia" w:cs="宋体"/>
          <w:b w:val="0"/>
          <w:bCs/>
          <w:sz w:val="21"/>
          <w:szCs w:val="21"/>
          <w:lang w:eastAsia="zh-CN"/>
        </w:rPr>
        <w:t>“</w:t>
      </w:r>
      <w:r>
        <w:rPr>
          <w:rFonts w:ascii="宋体" w:hAnsi="宋体" w:eastAsia="宋体" w:cs="宋体"/>
          <w:b w:val="0"/>
          <w:bCs/>
          <w:sz w:val="21"/>
          <w:szCs w:val="21"/>
        </w:rPr>
        <w:t>这次表现很好，要不要试试更难一点的</w:t>
      </w:r>
      <w:r>
        <w:rPr>
          <w:rFonts w:hint="eastAsia" w:cs="宋体"/>
          <w:b w:val="0"/>
          <w:bCs/>
          <w:sz w:val="21"/>
          <w:szCs w:val="21"/>
          <w:lang w:eastAsia="zh-CN"/>
        </w:rPr>
        <w:t>”</w:t>
      </w:r>
      <w:r>
        <w:rPr>
          <w:rFonts w:ascii="宋体" w:hAnsi="宋体" w:eastAsia="宋体" w:cs="宋体"/>
          <w:b w:val="0"/>
          <w:bCs/>
          <w:sz w:val="21"/>
          <w:szCs w:val="21"/>
        </w:rPr>
        <w:t>）；</w:t>
      </w:r>
    </w:p>
    <w:p w14:paraId="41563D95">
      <w:pPr>
        <w:spacing w:line="240" w:lineRule="auto"/>
        <w:ind w:firstLine="420"/>
        <w:rPr>
          <w:b w:val="0"/>
          <w:bCs/>
          <w:sz w:val="21"/>
          <w:szCs w:val="21"/>
        </w:rPr>
      </w:pPr>
      <w:r>
        <w:rPr>
          <w:rFonts w:ascii="宋体" w:hAnsi="宋体" w:eastAsia="宋体" w:cs="宋体"/>
          <w:b w:val="0"/>
          <w:bCs/>
          <w:sz w:val="21"/>
          <w:szCs w:val="21"/>
        </w:rPr>
        <w:t>d）宜尊重用户拒绝使用的权利，不强制参与玩具活动；</w:t>
      </w:r>
    </w:p>
    <w:p w14:paraId="34E9FD05">
      <w:pPr>
        <w:spacing w:line="240" w:lineRule="auto"/>
        <w:ind w:firstLine="420"/>
        <w:rPr>
          <w:b w:val="0"/>
          <w:bCs/>
          <w:sz w:val="21"/>
          <w:szCs w:val="21"/>
        </w:rPr>
      </w:pPr>
      <w:r>
        <w:rPr>
          <w:rFonts w:ascii="宋体" w:hAnsi="宋体" w:eastAsia="宋体" w:cs="宋体"/>
          <w:b w:val="0"/>
          <w:bCs/>
          <w:sz w:val="21"/>
          <w:szCs w:val="21"/>
        </w:rPr>
        <w:t>e）不宜利用玩具对认知障碍人群进行行为惩罚。</w:t>
      </w:r>
    </w:p>
    <w:p w14:paraId="250733E7">
      <w:pPr>
        <w:pStyle w:val="51"/>
        <w:spacing w:before="312" w:after="312"/>
      </w:pPr>
      <w:r>
        <w:t>效果评估与持续改进</w:t>
      </w:r>
    </w:p>
    <w:p w14:paraId="3477CD79">
      <w:pPr>
        <w:pStyle w:val="50"/>
        <w:spacing w:before="156" w:after="156"/>
      </w:pPr>
      <w:r>
        <w:t>评估指标体系</w:t>
      </w:r>
    </w:p>
    <w:p w14:paraId="73D8BF6D">
      <w:pPr>
        <w:spacing w:line="240" w:lineRule="auto"/>
        <w:ind w:firstLine="420"/>
        <w:rPr>
          <w:rFonts w:ascii="宋体" w:hAnsi="宋体" w:eastAsia="宋体" w:cs="宋体"/>
          <w:b w:val="0"/>
          <w:bCs/>
          <w:sz w:val="21"/>
          <w:szCs w:val="21"/>
        </w:rPr>
      </w:pPr>
      <w:r>
        <w:rPr>
          <w:rFonts w:ascii="宋体" w:hAnsi="宋体" w:eastAsia="宋体" w:cs="宋体"/>
          <w:b w:val="0"/>
          <w:bCs/>
          <w:sz w:val="21"/>
          <w:szCs w:val="21"/>
        </w:rPr>
        <w:t>表3给出了乐龄玩具应用效果评估的常用维度、指标、工具与频率，可根据应用场景和目标灵活选用。</w:t>
      </w:r>
    </w:p>
    <w:p w14:paraId="29E85065">
      <w:pPr>
        <w:spacing w:line="240" w:lineRule="auto"/>
        <w:ind w:firstLine="420"/>
        <w:jc w:val="center"/>
        <w:rPr>
          <w:rFonts w:hint="eastAsia" w:ascii="黑体" w:hAnsi="黑体" w:eastAsia="黑体" w:cs="黑体"/>
          <w:b w:val="0"/>
          <w:bCs/>
          <w:sz w:val="21"/>
          <w:szCs w:val="21"/>
        </w:rPr>
      </w:pPr>
      <w:r>
        <w:rPr>
          <w:rFonts w:hint="eastAsia" w:ascii="黑体" w:hAnsi="黑体" w:eastAsia="黑体" w:cs="黑体"/>
          <w:b w:val="0"/>
          <w:bCs/>
          <w:sz w:val="21"/>
          <w:szCs w:val="21"/>
        </w:rPr>
        <w:t>表3</w:t>
      </w:r>
      <w:r>
        <w:rPr>
          <w:rFonts w:hint="eastAsia" w:ascii="黑体" w:hAnsi="黑体" w:eastAsia="黑体" w:cs="黑体"/>
          <w:b w:val="0"/>
          <w:bCs/>
          <w:sz w:val="21"/>
          <w:szCs w:val="21"/>
          <w:lang w:val="en-US" w:eastAsia="zh-CN"/>
        </w:rPr>
        <w:t xml:space="preserve">  </w:t>
      </w:r>
      <w:r>
        <w:rPr>
          <w:rFonts w:hint="eastAsia" w:ascii="黑体" w:hAnsi="黑体" w:eastAsia="黑体" w:cs="黑体"/>
          <w:b w:val="0"/>
          <w:bCs/>
          <w:sz w:val="21"/>
          <w:szCs w:val="21"/>
        </w:rPr>
        <w:t>乐龄玩具应用效果评估常用维度、指标、工具与频率</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1"/>
        <w:gridCol w:w="2839"/>
        <w:gridCol w:w="2525"/>
        <w:gridCol w:w="2035"/>
      </w:tblGrid>
      <w:tr w14:paraId="488AA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1" w:type="dxa"/>
            <w:vAlign w:val="center"/>
          </w:tcPr>
          <w:p w14:paraId="4B4116E8">
            <w:pPr>
              <w:spacing w:after="0" w:line="240" w:lineRule="auto"/>
              <w:jc w:val="center"/>
              <w:rPr>
                <w:b w:val="0"/>
                <w:bCs/>
                <w:sz w:val="21"/>
                <w:szCs w:val="21"/>
              </w:rPr>
            </w:pPr>
            <w:r>
              <w:rPr>
                <w:rFonts w:ascii="黑体" w:hAnsi="黑体" w:eastAsia="黑体" w:cs="黑体"/>
                <w:b w:val="0"/>
                <w:bCs/>
                <w:sz w:val="21"/>
                <w:szCs w:val="21"/>
              </w:rPr>
              <w:t>评估维度</w:t>
            </w:r>
          </w:p>
        </w:tc>
        <w:tc>
          <w:tcPr>
            <w:tcW w:w="2839" w:type="dxa"/>
            <w:vAlign w:val="center"/>
          </w:tcPr>
          <w:p w14:paraId="38A58D19">
            <w:pPr>
              <w:spacing w:after="0" w:line="240" w:lineRule="auto"/>
              <w:jc w:val="center"/>
              <w:rPr>
                <w:b w:val="0"/>
                <w:bCs/>
                <w:sz w:val="21"/>
                <w:szCs w:val="21"/>
              </w:rPr>
            </w:pPr>
            <w:r>
              <w:rPr>
                <w:rFonts w:ascii="黑体" w:hAnsi="黑体" w:eastAsia="黑体" w:cs="黑体"/>
                <w:b w:val="0"/>
                <w:bCs/>
                <w:sz w:val="21"/>
                <w:szCs w:val="21"/>
              </w:rPr>
              <w:t>评估指标</w:t>
            </w:r>
          </w:p>
        </w:tc>
        <w:tc>
          <w:tcPr>
            <w:tcW w:w="2525" w:type="dxa"/>
            <w:vAlign w:val="center"/>
          </w:tcPr>
          <w:p w14:paraId="12AFEF2D">
            <w:pPr>
              <w:spacing w:after="0" w:line="240" w:lineRule="auto"/>
              <w:jc w:val="center"/>
              <w:rPr>
                <w:b w:val="0"/>
                <w:bCs/>
                <w:sz w:val="21"/>
                <w:szCs w:val="21"/>
              </w:rPr>
            </w:pPr>
            <w:r>
              <w:rPr>
                <w:rFonts w:ascii="黑体" w:hAnsi="黑体" w:eastAsia="黑体" w:cs="黑体"/>
                <w:b w:val="0"/>
                <w:bCs/>
                <w:sz w:val="21"/>
                <w:szCs w:val="21"/>
              </w:rPr>
              <w:t>评估工具/方法</w:t>
            </w:r>
          </w:p>
        </w:tc>
        <w:tc>
          <w:tcPr>
            <w:tcW w:w="2035" w:type="dxa"/>
            <w:vAlign w:val="center"/>
          </w:tcPr>
          <w:p w14:paraId="55DBB117">
            <w:pPr>
              <w:spacing w:after="0" w:line="240" w:lineRule="auto"/>
              <w:jc w:val="center"/>
              <w:rPr>
                <w:b w:val="0"/>
                <w:bCs/>
                <w:sz w:val="21"/>
                <w:szCs w:val="21"/>
              </w:rPr>
            </w:pPr>
            <w:r>
              <w:rPr>
                <w:rFonts w:ascii="黑体" w:hAnsi="黑体" w:eastAsia="黑体" w:cs="黑体"/>
                <w:b w:val="0"/>
                <w:bCs/>
                <w:sz w:val="21"/>
                <w:szCs w:val="21"/>
              </w:rPr>
              <w:t>评估频率</w:t>
            </w:r>
          </w:p>
        </w:tc>
      </w:tr>
      <w:tr w14:paraId="4F353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1" w:type="dxa"/>
            <w:vAlign w:val="center"/>
          </w:tcPr>
          <w:p w14:paraId="4C884409">
            <w:pPr>
              <w:spacing w:after="0" w:line="240" w:lineRule="auto"/>
              <w:jc w:val="center"/>
              <w:rPr>
                <w:b w:val="0"/>
                <w:bCs/>
                <w:sz w:val="21"/>
                <w:szCs w:val="21"/>
              </w:rPr>
            </w:pPr>
            <w:r>
              <w:rPr>
                <w:rFonts w:ascii="宋体" w:hAnsi="宋体" w:eastAsia="宋体" w:cs="宋体"/>
                <w:b w:val="0"/>
                <w:bCs/>
                <w:sz w:val="21"/>
                <w:szCs w:val="21"/>
              </w:rPr>
              <w:t>认知功能</w:t>
            </w:r>
          </w:p>
        </w:tc>
        <w:tc>
          <w:tcPr>
            <w:tcW w:w="2839" w:type="dxa"/>
            <w:vAlign w:val="center"/>
          </w:tcPr>
          <w:p w14:paraId="3F0BE499">
            <w:pPr>
              <w:spacing w:after="0" w:line="240" w:lineRule="auto"/>
              <w:rPr>
                <w:b w:val="0"/>
                <w:bCs/>
                <w:sz w:val="21"/>
                <w:szCs w:val="21"/>
              </w:rPr>
            </w:pPr>
            <w:r>
              <w:rPr>
                <w:rFonts w:ascii="宋体" w:hAnsi="宋体" w:eastAsia="宋体" w:cs="宋体"/>
                <w:b w:val="0"/>
                <w:bCs/>
                <w:sz w:val="21"/>
                <w:szCs w:val="21"/>
              </w:rPr>
              <w:t>记忆、注意、执行功能、语言、视空间能力变化</w:t>
            </w:r>
          </w:p>
        </w:tc>
        <w:tc>
          <w:tcPr>
            <w:tcW w:w="2525" w:type="dxa"/>
            <w:vAlign w:val="center"/>
          </w:tcPr>
          <w:p w14:paraId="705C26C9">
            <w:pPr>
              <w:spacing w:after="0" w:line="240" w:lineRule="auto"/>
              <w:rPr>
                <w:b w:val="0"/>
                <w:bCs/>
                <w:sz w:val="21"/>
                <w:szCs w:val="21"/>
              </w:rPr>
            </w:pPr>
            <w:r>
              <w:rPr>
                <w:rFonts w:ascii="宋体" w:hAnsi="宋体" w:eastAsia="宋体" w:cs="宋体"/>
                <w:b w:val="0"/>
                <w:bCs/>
                <w:sz w:val="21"/>
                <w:szCs w:val="21"/>
              </w:rPr>
              <w:t>MMSE、MoCA、单项认知测试</w:t>
            </w:r>
          </w:p>
        </w:tc>
        <w:tc>
          <w:tcPr>
            <w:tcW w:w="2035" w:type="dxa"/>
            <w:vAlign w:val="center"/>
          </w:tcPr>
          <w:p w14:paraId="38C239D6">
            <w:pPr>
              <w:spacing w:after="0" w:line="240" w:lineRule="auto"/>
              <w:rPr>
                <w:b w:val="0"/>
                <w:bCs/>
                <w:sz w:val="21"/>
                <w:szCs w:val="21"/>
              </w:rPr>
            </w:pPr>
            <w:r>
              <w:rPr>
                <w:rFonts w:ascii="宋体" w:hAnsi="宋体" w:eastAsia="宋体" w:cs="宋体"/>
                <w:b w:val="0"/>
                <w:bCs/>
                <w:sz w:val="21"/>
                <w:szCs w:val="21"/>
              </w:rPr>
              <w:t>每3—6个月</w:t>
            </w:r>
          </w:p>
        </w:tc>
      </w:tr>
      <w:tr w14:paraId="742FF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1" w:type="dxa"/>
            <w:vAlign w:val="center"/>
          </w:tcPr>
          <w:p w14:paraId="51959578">
            <w:pPr>
              <w:spacing w:after="0" w:line="240" w:lineRule="auto"/>
              <w:jc w:val="center"/>
              <w:rPr>
                <w:b w:val="0"/>
                <w:bCs/>
                <w:sz w:val="21"/>
                <w:szCs w:val="21"/>
              </w:rPr>
            </w:pPr>
            <w:r>
              <w:rPr>
                <w:rFonts w:ascii="宋体" w:hAnsi="宋体" w:eastAsia="宋体" w:cs="宋体"/>
                <w:b w:val="0"/>
                <w:bCs/>
                <w:sz w:val="21"/>
                <w:szCs w:val="21"/>
              </w:rPr>
              <w:t>情绪行为</w:t>
            </w:r>
          </w:p>
        </w:tc>
        <w:tc>
          <w:tcPr>
            <w:tcW w:w="2839" w:type="dxa"/>
            <w:vAlign w:val="center"/>
          </w:tcPr>
          <w:p w14:paraId="461921C3">
            <w:pPr>
              <w:spacing w:after="0" w:line="240" w:lineRule="auto"/>
              <w:rPr>
                <w:b w:val="0"/>
                <w:bCs/>
                <w:sz w:val="21"/>
                <w:szCs w:val="21"/>
              </w:rPr>
            </w:pPr>
            <w:r>
              <w:rPr>
                <w:rFonts w:ascii="宋体" w:hAnsi="宋体" w:eastAsia="宋体" w:cs="宋体"/>
                <w:b w:val="0"/>
                <w:bCs/>
                <w:sz w:val="21"/>
                <w:szCs w:val="21"/>
              </w:rPr>
              <w:t>焦虑、抑郁、激越行为、社交参与度</w:t>
            </w:r>
          </w:p>
        </w:tc>
        <w:tc>
          <w:tcPr>
            <w:tcW w:w="2525" w:type="dxa"/>
            <w:vAlign w:val="center"/>
          </w:tcPr>
          <w:p w14:paraId="4F63E4C0">
            <w:pPr>
              <w:spacing w:after="0" w:line="240" w:lineRule="auto"/>
              <w:rPr>
                <w:b w:val="0"/>
                <w:bCs/>
                <w:sz w:val="21"/>
                <w:szCs w:val="21"/>
              </w:rPr>
            </w:pPr>
            <w:r>
              <w:rPr>
                <w:rFonts w:ascii="宋体" w:hAnsi="宋体" w:eastAsia="宋体" w:cs="宋体"/>
                <w:b w:val="0"/>
                <w:bCs/>
                <w:sz w:val="21"/>
                <w:szCs w:val="21"/>
              </w:rPr>
              <w:t>GDS—15、NPI量表、观察记录</w:t>
            </w:r>
          </w:p>
        </w:tc>
        <w:tc>
          <w:tcPr>
            <w:tcW w:w="2035" w:type="dxa"/>
            <w:vAlign w:val="center"/>
          </w:tcPr>
          <w:p w14:paraId="0B94C60E">
            <w:pPr>
              <w:spacing w:after="0" w:line="240" w:lineRule="auto"/>
              <w:rPr>
                <w:b w:val="0"/>
                <w:bCs/>
                <w:sz w:val="21"/>
                <w:szCs w:val="21"/>
              </w:rPr>
            </w:pPr>
            <w:r>
              <w:rPr>
                <w:rFonts w:ascii="宋体" w:hAnsi="宋体" w:eastAsia="宋体" w:cs="宋体"/>
                <w:b w:val="0"/>
                <w:bCs/>
                <w:sz w:val="21"/>
                <w:szCs w:val="21"/>
              </w:rPr>
              <w:t>每3个月（或情绪波动期间随时评估）</w:t>
            </w:r>
          </w:p>
        </w:tc>
      </w:tr>
      <w:tr w14:paraId="2822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1" w:type="dxa"/>
            <w:vAlign w:val="center"/>
          </w:tcPr>
          <w:p w14:paraId="457096CF">
            <w:pPr>
              <w:spacing w:after="0" w:line="240" w:lineRule="auto"/>
              <w:jc w:val="center"/>
              <w:rPr>
                <w:b w:val="0"/>
                <w:bCs/>
                <w:sz w:val="21"/>
                <w:szCs w:val="21"/>
              </w:rPr>
            </w:pPr>
            <w:r>
              <w:rPr>
                <w:rFonts w:ascii="宋体" w:hAnsi="宋体" w:eastAsia="宋体" w:cs="宋体"/>
                <w:b w:val="0"/>
                <w:bCs/>
                <w:sz w:val="21"/>
                <w:szCs w:val="21"/>
              </w:rPr>
              <w:t>日常生活能力</w:t>
            </w:r>
          </w:p>
        </w:tc>
        <w:tc>
          <w:tcPr>
            <w:tcW w:w="2839" w:type="dxa"/>
            <w:vAlign w:val="center"/>
          </w:tcPr>
          <w:p w14:paraId="44A79555">
            <w:pPr>
              <w:spacing w:after="0" w:line="240" w:lineRule="auto"/>
              <w:rPr>
                <w:b w:val="0"/>
                <w:bCs/>
                <w:sz w:val="21"/>
                <w:szCs w:val="21"/>
              </w:rPr>
            </w:pPr>
            <w:r>
              <w:rPr>
                <w:rFonts w:ascii="宋体" w:hAnsi="宋体" w:eastAsia="宋体" w:cs="宋体"/>
                <w:b w:val="0"/>
                <w:bCs/>
                <w:sz w:val="21"/>
                <w:szCs w:val="21"/>
              </w:rPr>
              <w:t>穿衣、进食、如厕、洗澡等自理能力</w:t>
            </w:r>
          </w:p>
        </w:tc>
        <w:tc>
          <w:tcPr>
            <w:tcW w:w="2525" w:type="dxa"/>
            <w:vAlign w:val="center"/>
          </w:tcPr>
          <w:p w14:paraId="6AF85364">
            <w:pPr>
              <w:spacing w:after="0" w:line="240" w:lineRule="auto"/>
              <w:rPr>
                <w:b w:val="0"/>
                <w:bCs/>
                <w:sz w:val="21"/>
                <w:szCs w:val="21"/>
              </w:rPr>
            </w:pPr>
            <w:r>
              <w:rPr>
                <w:rFonts w:ascii="宋体" w:hAnsi="宋体" w:eastAsia="宋体" w:cs="宋体"/>
                <w:b w:val="0"/>
                <w:bCs/>
                <w:sz w:val="21"/>
                <w:szCs w:val="21"/>
              </w:rPr>
              <w:t>ADL/IADL量表</w:t>
            </w:r>
          </w:p>
        </w:tc>
        <w:tc>
          <w:tcPr>
            <w:tcW w:w="2035" w:type="dxa"/>
            <w:vAlign w:val="center"/>
          </w:tcPr>
          <w:p w14:paraId="67374A18">
            <w:pPr>
              <w:spacing w:after="0" w:line="240" w:lineRule="auto"/>
              <w:rPr>
                <w:b w:val="0"/>
                <w:bCs/>
                <w:sz w:val="21"/>
                <w:szCs w:val="21"/>
              </w:rPr>
            </w:pPr>
            <w:r>
              <w:rPr>
                <w:rFonts w:ascii="宋体" w:hAnsi="宋体" w:eastAsia="宋体" w:cs="宋体"/>
                <w:b w:val="0"/>
                <w:bCs/>
                <w:sz w:val="21"/>
                <w:szCs w:val="21"/>
              </w:rPr>
              <w:t>每3个月</w:t>
            </w:r>
          </w:p>
        </w:tc>
      </w:tr>
      <w:tr w14:paraId="097E5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1" w:type="dxa"/>
            <w:vAlign w:val="center"/>
          </w:tcPr>
          <w:p w14:paraId="4F2495E7">
            <w:pPr>
              <w:spacing w:after="0" w:line="240" w:lineRule="auto"/>
              <w:jc w:val="center"/>
              <w:rPr>
                <w:b w:val="0"/>
                <w:bCs/>
                <w:sz w:val="21"/>
                <w:szCs w:val="21"/>
              </w:rPr>
            </w:pPr>
            <w:r>
              <w:rPr>
                <w:rFonts w:ascii="宋体" w:hAnsi="宋体" w:eastAsia="宋体" w:cs="宋体"/>
                <w:b w:val="0"/>
                <w:bCs/>
                <w:sz w:val="21"/>
                <w:szCs w:val="21"/>
              </w:rPr>
              <w:t>玩具使用参与度</w:t>
            </w:r>
          </w:p>
        </w:tc>
        <w:tc>
          <w:tcPr>
            <w:tcW w:w="2839" w:type="dxa"/>
            <w:vAlign w:val="center"/>
          </w:tcPr>
          <w:p w14:paraId="5FCCA6D6">
            <w:pPr>
              <w:spacing w:after="0" w:line="240" w:lineRule="auto"/>
              <w:rPr>
                <w:b w:val="0"/>
                <w:bCs/>
                <w:sz w:val="21"/>
                <w:szCs w:val="21"/>
              </w:rPr>
            </w:pPr>
            <w:r>
              <w:rPr>
                <w:rFonts w:ascii="宋体" w:hAnsi="宋体" w:eastAsia="宋体" w:cs="宋体"/>
                <w:b w:val="0"/>
                <w:bCs/>
                <w:sz w:val="21"/>
                <w:szCs w:val="21"/>
              </w:rPr>
              <w:t>使用频率、持续时长、任务完成率、主观满意度</w:t>
            </w:r>
          </w:p>
        </w:tc>
        <w:tc>
          <w:tcPr>
            <w:tcW w:w="2525" w:type="dxa"/>
            <w:vAlign w:val="center"/>
          </w:tcPr>
          <w:p w14:paraId="58B126FF">
            <w:pPr>
              <w:spacing w:after="0" w:line="240" w:lineRule="auto"/>
              <w:rPr>
                <w:b w:val="0"/>
                <w:bCs/>
                <w:sz w:val="21"/>
                <w:szCs w:val="21"/>
              </w:rPr>
            </w:pPr>
            <w:r>
              <w:rPr>
                <w:rFonts w:ascii="宋体" w:hAnsi="宋体" w:eastAsia="宋体" w:cs="宋体"/>
                <w:b w:val="0"/>
                <w:bCs/>
                <w:sz w:val="21"/>
                <w:szCs w:val="21"/>
              </w:rPr>
              <w:t>智能玩具数据报告、满意度问卷</w:t>
            </w:r>
          </w:p>
        </w:tc>
        <w:tc>
          <w:tcPr>
            <w:tcW w:w="2035" w:type="dxa"/>
            <w:vAlign w:val="center"/>
          </w:tcPr>
          <w:p w14:paraId="091FAAF1">
            <w:pPr>
              <w:spacing w:after="0" w:line="240" w:lineRule="auto"/>
              <w:rPr>
                <w:b w:val="0"/>
                <w:bCs/>
                <w:sz w:val="21"/>
                <w:szCs w:val="21"/>
              </w:rPr>
            </w:pPr>
            <w:r>
              <w:rPr>
                <w:rFonts w:ascii="宋体" w:hAnsi="宋体" w:eastAsia="宋体" w:cs="宋体"/>
                <w:b w:val="0"/>
                <w:bCs/>
                <w:sz w:val="21"/>
                <w:szCs w:val="21"/>
              </w:rPr>
              <w:t>每周/每月</w:t>
            </w:r>
          </w:p>
        </w:tc>
      </w:tr>
      <w:tr w14:paraId="3B622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1" w:type="dxa"/>
            <w:vAlign w:val="center"/>
          </w:tcPr>
          <w:p w14:paraId="564EB2B7">
            <w:pPr>
              <w:spacing w:after="0" w:line="240" w:lineRule="auto"/>
              <w:jc w:val="center"/>
              <w:rPr>
                <w:b w:val="0"/>
                <w:bCs/>
                <w:sz w:val="21"/>
                <w:szCs w:val="21"/>
              </w:rPr>
            </w:pPr>
            <w:r>
              <w:rPr>
                <w:rFonts w:ascii="宋体" w:hAnsi="宋体" w:eastAsia="宋体" w:cs="宋体"/>
                <w:b w:val="0"/>
                <w:bCs/>
                <w:sz w:val="21"/>
                <w:szCs w:val="21"/>
              </w:rPr>
              <w:t>照护者负担</w:t>
            </w:r>
          </w:p>
        </w:tc>
        <w:tc>
          <w:tcPr>
            <w:tcW w:w="2839" w:type="dxa"/>
            <w:vAlign w:val="center"/>
          </w:tcPr>
          <w:p w14:paraId="6DC87156">
            <w:pPr>
              <w:spacing w:after="0" w:line="240" w:lineRule="auto"/>
              <w:rPr>
                <w:b w:val="0"/>
                <w:bCs/>
                <w:sz w:val="21"/>
                <w:szCs w:val="21"/>
              </w:rPr>
            </w:pPr>
            <w:r>
              <w:rPr>
                <w:rFonts w:ascii="宋体" w:hAnsi="宋体" w:eastAsia="宋体" w:cs="宋体"/>
                <w:b w:val="0"/>
                <w:bCs/>
                <w:sz w:val="21"/>
                <w:szCs w:val="21"/>
              </w:rPr>
              <w:t>照护压力、满意度、对玩具的接受度</w:t>
            </w:r>
          </w:p>
        </w:tc>
        <w:tc>
          <w:tcPr>
            <w:tcW w:w="2525" w:type="dxa"/>
            <w:vAlign w:val="center"/>
          </w:tcPr>
          <w:p w14:paraId="2CC14657">
            <w:pPr>
              <w:spacing w:after="0" w:line="240" w:lineRule="auto"/>
              <w:rPr>
                <w:b w:val="0"/>
                <w:bCs/>
                <w:sz w:val="21"/>
                <w:szCs w:val="21"/>
              </w:rPr>
            </w:pPr>
            <w:r>
              <w:rPr>
                <w:rFonts w:ascii="宋体" w:hAnsi="宋体" w:eastAsia="宋体" w:cs="宋体"/>
                <w:b w:val="0"/>
                <w:bCs/>
                <w:sz w:val="21"/>
                <w:szCs w:val="21"/>
              </w:rPr>
              <w:t>ZBI照护负担量表、访谈</w:t>
            </w:r>
          </w:p>
        </w:tc>
        <w:tc>
          <w:tcPr>
            <w:tcW w:w="2035" w:type="dxa"/>
            <w:vAlign w:val="center"/>
          </w:tcPr>
          <w:p w14:paraId="6F608979">
            <w:pPr>
              <w:spacing w:after="0" w:line="240" w:lineRule="auto"/>
              <w:rPr>
                <w:b w:val="0"/>
                <w:bCs/>
                <w:sz w:val="21"/>
                <w:szCs w:val="21"/>
              </w:rPr>
            </w:pPr>
            <w:r>
              <w:rPr>
                <w:rFonts w:ascii="宋体" w:hAnsi="宋体" w:eastAsia="宋体" w:cs="宋体"/>
                <w:b w:val="0"/>
                <w:bCs/>
                <w:sz w:val="21"/>
                <w:szCs w:val="21"/>
              </w:rPr>
              <w:t>每6个月</w:t>
            </w:r>
          </w:p>
        </w:tc>
      </w:tr>
    </w:tbl>
    <w:p w14:paraId="0992EC18">
      <w:pPr>
        <w:spacing w:line="240" w:lineRule="auto"/>
        <w:ind w:firstLine="420"/>
        <w:rPr>
          <w:b w:val="0"/>
          <w:bCs/>
          <w:sz w:val="21"/>
          <w:szCs w:val="21"/>
        </w:rPr>
      </w:pPr>
      <w:r>
        <w:rPr>
          <w:rFonts w:ascii="宋体" w:hAnsi="宋体" w:eastAsia="宋体" w:cs="宋体"/>
          <w:b w:val="0"/>
          <w:bCs/>
          <w:sz w:val="21"/>
          <w:szCs w:val="21"/>
        </w:rPr>
        <w:t>注：开展代际共玩活动时，评估可增加</w:t>
      </w:r>
      <w:r>
        <w:rPr>
          <w:rFonts w:hint="eastAsia" w:cs="宋体"/>
          <w:b w:val="0"/>
          <w:bCs/>
          <w:sz w:val="21"/>
          <w:szCs w:val="21"/>
          <w:lang w:eastAsia="zh-CN"/>
        </w:rPr>
        <w:t>“</w:t>
      </w:r>
      <w:r>
        <w:rPr>
          <w:rFonts w:ascii="宋体" w:hAnsi="宋体" w:eastAsia="宋体" w:cs="宋体"/>
          <w:b w:val="0"/>
          <w:bCs/>
          <w:sz w:val="21"/>
          <w:szCs w:val="21"/>
        </w:rPr>
        <w:t>代际共玩质量</w:t>
      </w:r>
      <w:r>
        <w:rPr>
          <w:rFonts w:hint="eastAsia" w:cs="宋体"/>
          <w:b w:val="0"/>
          <w:bCs/>
          <w:sz w:val="21"/>
          <w:szCs w:val="21"/>
          <w:lang w:eastAsia="zh-CN"/>
        </w:rPr>
        <w:t>”</w:t>
      </w:r>
      <w:r>
        <w:rPr>
          <w:rFonts w:ascii="宋体" w:hAnsi="宋体" w:eastAsia="宋体" w:cs="宋体"/>
          <w:b w:val="0"/>
          <w:bCs/>
          <w:sz w:val="21"/>
          <w:szCs w:val="21"/>
        </w:rPr>
        <w:t>观察项，记录老人与儿童互动状态。日常可通过智能玩具的情绪感知数据和照护者观察记录进行连续监测。</w:t>
      </w:r>
    </w:p>
    <w:p w14:paraId="5AC3E4F1">
      <w:pPr>
        <w:pStyle w:val="50"/>
        <w:spacing w:before="156" w:after="156"/>
      </w:pPr>
      <w:r>
        <w:t>评估流程</w:t>
      </w:r>
    </w:p>
    <w:p w14:paraId="2CCB5A74">
      <w:pPr>
        <w:spacing w:line="240" w:lineRule="auto"/>
        <w:ind w:firstLine="420"/>
        <w:rPr>
          <w:b w:val="0"/>
          <w:bCs/>
          <w:sz w:val="21"/>
          <w:szCs w:val="21"/>
        </w:rPr>
      </w:pPr>
      <w:r>
        <w:rPr>
          <w:rFonts w:ascii="宋体" w:hAnsi="宋体" w:eastAsia="宋体" w:cs="宋体"/>
          <w:b w:val="0"/>
          <w:bCs/>
          <w:sz w:val="21"/>
          <w:szCs w:val="21"/>
        </w:rPr>
        <w:t>a）基线评估：开始使用乐龄玩具前，完成全部评估维度的基线测量；</w:t>
      </w:r>
    </w:p>
    <w:p w14:paraId="4FDDDCDC">
      <w:pPr>
        <w:spacing w:line="240" w:lineRule="auto"/>
        <w:ind w:firstLine="420"/>
        <w:rPr>
          <w:b w:val="0"/>
          <w:bCs/>
          <w:sz w:val="21"/>
          <w:szCs w:val="21"/>
        </w:rPr>
      </w:pPr>
      <w:r>
        <w:rPr>
          <w:rFonts w:ascii="宋体" w:hAnsi="宋体" w:eastAsia="宋体" w:cs="宋体"/>
          <w:b w:val="0"/>
          <w:bCs/>
          <w:sz w:val="21"/>
          <w:szCs w:val="21"/>
        </w:rPr>
        <w:t>b）过程监测：通过智能玩具数据或人工记录表，持续追踪使用参与度和情绪变化；</w:t>
      </w:r>
    </w:p>
    <w:p w14:paraId="0543B4CB">
      <w:pPr>
        <w:spacing w:line="240" w:lineRule="auto"/>
        <w:ind w:firstLine="420"/>
        <w:rPr>
          <w:b w:val="0"/>
          <w:bCs/>
          <w:sz w:val="21"/>
          <w:szCs w:val="21"/>
        </w:rPr>
      </w:pPr>
      <w:r>
        <w:rPr>
          <w:rFonts w:ascii="宋体" w:hAnsi="宋体" w:eastAsia="宋体" w:cs="宋体"/>
          <w:b w:val="0"/>
          <w:bCs/>
          <w:sz w:val="21"/>
          <w:szCs w:val="21"/>
        </w:rPr>
        <w:t>c）阶段评估：按表3频率完成各维度复评，与基线数据对比分析；</w:t>
      </w:r>
    </w:p>
    <w:p w14:paraId="2B0BBB7B">
      <w:pPr>
        <w:spacing w:line="240" w:lineRule="auto"/>
        <w:ind w:firstLine="420"/>
        <w:rPr>
          <w:b w:val="0"/>
          <w:bCs/>
          <w:sz w:val="21"/>
          <w:szCs w:val="21"/>
        </w:rPr>
      </w:pPr>
      <w:r>
        <w:rPr>
          <w:rFonts w:ascii="宋体" w:hAnsi="宋体" w:eastAsia="宋体" w:cs="宋体"/>
          <w:b w:val="0"/>
          <w:bCs/>
          <w:sz w:val="21"/>
          <w:szCs w:val="21"/>
        </w:rPr>
        <w:t>d）方案调整：根据评估结果，及时调整玩具类型、难度等级和活动组织方式；</w:t>
      </w:r>
    </w:p>
    <w:p w14:paraId="529BDAE9">
      <w:pPr>
        <w:spacing w:line="240" w:lineRule="auto"/>
        <w:ind w:firstLine="420"/>
        <w:rPr>
          <w:b w:val="0"/>
          <w:bCs/>
          <w:sz w:val="21"/>
          <w:szCs w:val="21"/>
        </w:rPr>
      </w:pPr>
      <w:r>
        <w:rPr>
          <w:rFonts w:ascii="宋体" w:hAnsi="宋体" w:eastAsia="宋体" w:cs="宋体"/>
          <w:b w:val="0"/>
          <w:bCs/>
          <w:sz w:val="21"/>
          <w:szCs w:val="21"/>
        </w:rPr>
        <w:t>e）年度总结：每年出具一份综合评估报告，纳入个人健康档案。</w:t>
      </w:r>
    </w:p>
    <w:p w14:paraId="742A98E7">
      <w:pPr>
        <w:pStyle w:val="50"/>
        <w:spacing w:before="156" w:after="156"/>
      </w:pPr>
      <w:r>
        <w:t>持续改进机制</w:t>
      </w:r>
    </w:p>
    <w:p w14:paraId="1307CFCB">
      <w:pPr>
        <w:spacing w:line="240" w:lineRule="auto"/>
        <w:ind w:firstLine="420"/>
        <w:rPr>
          <w:b w:val="0"/>
          <w:bCs/>
          <w:sz w:val="21"/>
          <w:szCs w:val="21"/>
        </w:rPr>
      </w:pPr>
      <w:r>
        <w:rPr>
          <w:rFonts w:ascii="宋体" w:hAnsi="宋体" w:eastAsia="宋体" w:cs="宋体"/>
          <w:b w:val="0"/>
          <w:bCs/>
          <w:sz w:val="21"/>
          <w:szCs w:val="21"/>
        </w:rPr>
        <w:t>a）应用机构宜建立玩具使用反馈收集机制（用户、照护者、专业人员三方反馈）；</w:t>
      </w:r>
    </w:p>
    <w:p w14:paraId="36CD1ABC">
      <w:pPr>
        <w:spacing w:line="240" w:lineRule="auto"/>
        <w:ind w:firstLine="420"/>
        <w:rPr>
          <w:b w:val="0"/>
          <w:bCs/>
          <w:sz w:val="21"/>
          <w:szCs w:val="21"/>
        </w:rPr>
      </w:pPr>
      <w:r>
        <w:rPr>
          <w:rFonts w:ascii="宋体" w:hAnsi="宋体" w:eastAsia="宋体" w:cs="宋体"/>
          <w:b w:val="0"/>
          <w:bCs/>
          <w:sz w:val="21"/>
          <w:szCs w:val="21"/>
        </w:rPr>
        <w:t>b）反馈宜定期汇总分析，识别共性问题（如某类玩具普遍不受欢迎、某功能频繁出现故障）；</w:t>
      </w:r>
    </w:p>
    <w:p w14:paraId="1C384E87">
      <w:pPr>
        <w:spacing w:line="240" w:lineRule="auto"/>
        <w:ind w:firstLine="420"/>
        <w:rPr>
          <w:b w:val="0"/>
          <w:bCs/>
          <w:sz w:val="21"/>
          <w:szCs w:val="21"/>
        </w:rPr>
      </w:pPr>
      <w:r>
        <w:rPr>
          <w:rFonts w:ascii="宋体" w:hAnsi="宋体" w:eastAsia="宋体" w:cs="宋体"/>
          <w:b w:val="0"/>
          <w:bCs/>
          <w:sz w:val="21"/>
          <w:szCs w:val="21"/>
        </w:rPr>
        <w:t>c）智能玩具软件宜支持OTA升级，根据用户反馈优化交互设计和内容库；</w:t>
      </w:r>
    </w:p>
    <w:p w14:paraId="606054E7">
      <w:pPr>
        <w:spacing w:line="240" w:lineRule="auto"/>
        <w:ind w:firstLine="420"/>
        <w:rPr>
          <w:b w:val="0"/>
          <w:bCs/>
          <w:sz w:val="21"/>
          <w:szCs w:val="21"/>
        </w:rPr>
      </w:pPr>
      <w:r>
        <w:rPr>
          <w:rFonts w:ascii="宋体" w:hAnsi="宋体" w:eastAsia="宋体" w:cs="宋体"/>
          <w:b w:val="0"/>
          <w:bCs/>
          <w:sz w:val="21"/>
          <w:szCs w:val="21"/>
        </w:rPr>
        <w:t>d）产品研发企业宜与应用机构建立持续沟通渠道，收集真实世界使用数据，驱动产品迭代；</w:t>
      </w:r>
    </w:p>
    <w:p w14:paraId="143044C0">
      <w:pPr>
        <w:spacing w:line="240" w:lineRule="auto"/>
        <w:ind w:firstLine="420"/>
        <w:rPr>
          <w:b w:val="0"/>
          <w:bCs/>
          <w:sz w:val="21"/>
          <w:szCs w:val="21"/>
        </w:rPr>
      </w:pPr>
      <w:r>
        <w:rPr>
          <w:rFonts w:ascii="宋体" w:hAnsi="宋体" w:eastAsia="宋体" w:cs="宋体"/>
          <w:b w:val="0"/>
          <w:bCs/>
          <w:sz w:val="21"/>
          <w:szCs w:val="21"/>
        </w:rPr>
        <w:t>e）宜鼓励校企合作模式，高校负责基础研究和效果验证，企业负责产品化和规模化。</w:t>
      </w:r>
    </w:p>
    <w:p w14:paraId="78BC8014">
      <w:pPr>
        <w:pStyle w:val="63"/>
        <w:sectPr>
          <w:headerReference r:id="rId8" w:type="default"/>
          <w:footerReference r:id="rId9" w:type="default"/>
          <w:footerReference r:id="rId10" w:type="even"/>
          <w:pgSz w:w="11906" w:h="16838"/>
          <w:pgMar w:top="567" w:right="1134" w:bottom="1134" w:left="1417" w:header="1418" w:footer="1134" w:gutter="0"/>
          <w:pgNumType w:fmt="decimal" w:start="1" w:chapStyle="1"/>
          <w:cols w:space="720" w:num="1"/>
          <w:formProt w:val="0"/>
          <w:docGrid w:type="lines" w:linePitch="312" w:charSpace="0"/>
        </w:sectPr>
      </w:pPr>
      <w:bookmarkStart w:id="8" w:name="_Toc23442"/>
      <w:bookmarkEnd w:id="8"/>
    </w:p>
    <w:p w14:paraId="5D88C94A">
      <w:pPr>
        <w:pStyle w:val="99"/>
        <w:keepNext w:val="0"/>
        <w:keepLines w:val="0"/>
        <w:pageBreakBefore w:val="0"/>
        <w:widowControl/>
        <w:pBdr>
          <w:top w:val="none" w:color="auto" w:sz="0" w:space="0"/>
          <w:left w:val="none" w:color="auto" w:sz="0" w:space="0"/>
          <w:bottom w:val="none" w:color="auto" w:sz="0" w:space="0"/>
          <w:right w:val="none" w:color="auto" w:sz="0" w:space="0"/>
        </w:pBdr>
        <w:tabs>
          <w:tab w:val="clear" w:pos="4201"/>
          <w:tab w:val="clear" w:pos="9298"/>
        </w:tabs>
        <w:kinsoku/>
        <w:wordWrap/>
        <w:overflowPunct/>
        <w:topLinePunct w:val="0"/>
        <w:autoSpaceDE w:val="0"/>
        <w:autoSpaceDN w:val="0"/>
        <w:bidi w:val="0"/>
        <w:adjustRightInd/>
        <w:snapToGrid/>
        <w:spacing w:before="625" w:beforeLines="200"/>
        <w:textAlignment w:val="auto"/>
        <w:rPr>
          <w:rFonts w:hint="eastAsia"/>
          <w:lang w:val="en-US" w:eastAsia="zh-CN"/>
        </w:rPr>
      </w:pPr>
      <w:r>
        <w:rPr>
          <w:rFonts w:hint="eastAsia"/>
          <w:lang w:val="en-US" w:eastAsia="zh-CN"/>
        </w:rPr>
        <w:t>附  录  A</w:t>
      </w:r>
    </w:p>
    <w:p w14:paraId="2FA6AACB">
      <w:pPr>
        <w:pStyle w:val="99"/>
        <w:pBdr>
          <w:top w:val="none" w:color="auto" w:sz="0" w:space="0"/>
          <w:left w:val="none" w:color="auto" w:sz="0" w:space="0"/>
          <w:bottom w:val="none" w:color="auto" w:sz="0" w:space="0"/>
          <w:right w:val="none" w:color="auto" w:sz="0" w:space="0"/>
        </w:pBdr>
        <w:tabs>
          <w:tab w:val="clear" w:pos="4201"/>
          <w:tab w:val="clear" w:pos="9298"/>
        </w:tabs>
        <w:rPr>
          <w:rFonts w:hint="eastAsia"/>
        </w:rPr>
      </w:pPr>
      <w:r>
        <w:rPr>
          <w:rFonts w:hint="eastAsia"/>
          <w:lang w:val="en-US" w:eastAsia="zh-CN"/>
        </w:rPr>
        <w:t>（资料性）</w:t>
      </w:r>
      <w:r>
        <w:rPr>
          <w:rFonts w:hint="eastAsia"/>
        </w:rPr>
        <w:br w:type="textWrapping"/>
      </w:r>
      <w:r>
        <w:rPr>
          <w:rFonts w:hint="eastAsia"/>
          <w:lang w:val="en-US" w:eastAsia="zh-CN"/>
        </w:rPr>
        <w:t>认知障碍分期评估与适配决策指南</w:t>
      </w:r>
    </w:p>
    <w:p w14:paraId="27638370">
      <w:pPr>
        <w:spacing w:line="240" w:lineRule="auto"/>
        <w:ind w:firstLine="420"/>
        <w:rPr>
          <w:b w:val="0"/>
          <w:bCs w:val="0"/>
          <w:sz w:val="21"/>
          <w:szCs w:val="21"/>
        </w:rPr>
      </w:pPr>
      <w:bookmarkStart w:id="9" w:name="_Toc14963"/>
      <w:r>
        <w:rPr>
          <w:rFonts w:ascii="宋体" w:hAnsi="宋体" w:eastAsia="宋体" w:cs="宋体"/>
          <w:b w:val="0"/>
          <w:bCs w:val="0"/>
          <w:sz w:val="21"/>
          <w:szCs w:val="21"/>
        </w:rPr>
        <w:t>本附录给出了认知障碍分期评估的常用方法、量表使用要点，以及评估结果到玩具适配的决策建议，供使用者参考。</w:t>
      </w:r>
    </w:p>
    <w:p w14:paraId="496DA870">
      <w:pPr>
        <w:rPr>
          <w:b w:val="0"/>
          <w:bCs w:val="0"/>
          <w:sz w:val="21"/>
          <w:szCs w:val="21"/>
        </w:rPr>
      </w:pPr>
      <w:r>
        <w:rPr>
          <w:rFonts w:ascii="黑体" w:hAnsi="黑体" w:eastAsia="黑体" w:cs="黑体"/>
          <w:b w:val="0"/>
          <w:bCs w:val="0"/>
          <w:sz w:val="21"/>
          <w:szCs w:val="21"/>
        </w:rPr>
        <w:t>A.1　分期评估方法概述</w:t>
      </w:r>
    </w:p>
    <w:p w14:paraId="534EA52A">
      <w:pPr>
        <w:spacing w:line="240" w:lineRule="auto"/>
        <w:ind w:firstLine="420"/>
        <w:rPr>
          <w:b w:val="0"/>
          <w:bCs w:val="0"/>
          <w:sz w:val="21"/>
          <w:szCs w:val="21"/>
        </w:rPr>
      </w:pPr>
      <w:r>
        <w:rPr>
          <w:rFonts w:ascii="宋体" w:hAnsi="宋体" w:eastAsia="宋体" w:cs="宋体"/>
          <w:b w:val="0"/>
          <w:bCs w:val="0"/>
          <w:sz w:val="21"/>
          <w:szCs w:val="21"/>
        </w:rPr>
        <w:t>认知障碍按严重程度分为4个等级。分级通常首先使用8项痴呆评定问卷（Ascertain Dementia 8，AD-8）量表进行快速自评，如AD-8评分≥2分，再使用蒙特利尔认知评估量表（Montreal Cognitive Assessment，MoCA）进一步筛查，可结合临床痴呆评定量表（Clinical Dementia Rating，CDR）、日常生活能力评估、精神行为评估等做综合判断。各量表的使用要点见A.2—A.4。</w:t>
      </w:r>
    </w:p>
    <w:p w14:paraId="3094D078">
      <w:pPr>
        <w:rPr>
          <w:b w:val="0"/>
          <w:bCs w:val="0"/>
          <w:sz w:val="21"/>
          <w:szCs w:val="21"/>
        </w:rPr>
      </w:pPr>
      <w:r>
        <w:rPr>
          <w:rFonts w:ascii="黑体" w:hAnsi="黑体" w:eastAsia="黑体" w:cs="黑体"/>
          <w:b w:val="0"/>
          <w:bCs w:val="0"/>
          <w:sz w:val="21"/>
          <w:szCs w:val="21"/>
        </w:rPr>
        <w:t>A.2　MoCA量表使用要点</w:t>
      </w:r>
    </w:p>
    <w:p w14:paraId="3C84D113">
      <w:pPr>
        <w:spacing w:line="240" w:lineRule="auto"/>
        <w:ind w:firstLine="420"/>
        <w:rPr>
          <w:b w:val="0"/>
          <w:bCs w:val="0"/>
          <w:sz w:val="21"/>
          <w:szCs w:val="21"/>
        </w:rPr>
      </w:pPr>
      <w:r>
        <w:rPr>
          <w:rFonts w:ascii="宋体" w:hAnsi="宋体" w:eastAsia="宋体" w:cs="宋体"/>
          <w:b w:val="0"/>
          <w:bCs w:val="0"/>
          <w:sz w:val="21"/>
          <w:szCs w:val="21"/>
        </w:rPr>
        <w:t>a）对轻度认知障碍（MCI）的灵敏度高于MMSE，推荐作为首选筛查工具；</w:t>
      </w:r>
    </w:p>
    <w:p w14:paraId="38E02C28">
      <w:pPr>
        <w:spacing w:line="240" w:lineRule="auto"/>
        <w:ind w:firstLine="420"/>
        <w:rPr>
          <w:b w:val="0"/>
          <w:bCs w:val="0"/>
          <w:sz w:val="21"/>
          <w:szCs w:val="21"/>
        </w:rPr>
      </w:pPr>
      <w:r>
        <w:rPr>
          <w:rFonts w:ascii="宋体" w:hAnsi="宋体" w:eastAsia="宋体" w:cs="宋体"/>
          <w:b w:val="0"/>
          <w:bCs w:val="0"/>
          <w:sz w:val="21"/>
          <w:szCs w:val="21"/>
        </w:rPr>
        <w:t>b）教育年限不足12年的受试者可在总分上加1分作为校正；</w:t>
      </w:r>
    </w:p>
    <w:p w14:paraId="00DD2BB0">
      <w:pPr>
        <w:spacing w:line="240" w:lineRule="auto"/>
        <w:ind w:firstLine="420"/>
        <w:rPr>
          <w:b w:val="0"/>
          <w:bCs w:val="0"/>
          <w:sz w:val="21"/>
          <w:szCs w:val="21"/>
        </w:rPr>
      </w:pPr>
      <w:r>
        <w:rPr>
          <w:rFonts w:ascii="宋体" w:hAnsi="宋体" w:eastAsia="宋体" w:cs="宋体"/>
          <w:b w:val="0"/>
          <w:bCs w:val="0"/>
          <w:sz w:val="21"/>
          <w:szCs w:val="21"/>
        </w:rPr>
        <w:t>c）测试时间约15—20分钟；</w:t>
      </w:r>
    </w:p>
    <w:p w14:paraId="0F2962C9">
      <w:pPr>
        <w:spacing w:line="240" w:lineRule="auto"/>
        <w:ind w:firstLine="420"/>
        <w:rPr>
          <w:b w:val="0"/>
          <w:bCs w:val="0"/>
          <w:sz w:val="21"/>
          <w:szCs w:val="21"/>
        </w:rPr>
      </w:pPr>
      <w:r>
        <w:rPr>
          <w:rFonts w:ascii="宋体" w:hAnsi="宋体" w:eastAsia="宋体" w:cs="宋体"/>
          <w:b w:val="0"/>
          <w:bCs w:val="0"/>
          <w:sz w:val="21"/>
          <w:szCs w:val="21"/>
        </w:rPr>
        <w:t>d）包含视空间与执行功能、命名、记忆力、注意力、语言、抽象思维、延迟回忆等维度。</w:t>
      </w:r>
    </w:p>
    <w:p w14:paraId="26EA3B1F">
      <w:pPr>
        <w:rPr>
          <w:b w:val="0"/>
          <w:bCs w:val="0"/>
          <w:sz w:val="21"/>
          <w:szCs w:val="21"/>
        </w:rPr>
      </w:pPr>
      <w:r>
        <w:rPr>
          <w:rFonts w:ascii="黑体" w:hAnsi="黑体" w:eastAsia="黑体" w:cs="黑体"/>
          <w:b w:val="0"/>
          <w:bCs w:val="0"/>
          <w:sz w:val="21"/>
          <w:szCs w:val="21"/>
        </w:rPr>
        <w:t>A.3　AD-8使用说明</w:t>
      </w:r>
    </w:p>
    <w:p w14:paraId="3FAFDE1B">
      <w:pPr>
        <w:spacing w:line="240" w:lineRule="auto"/>
        <w:ind w:firstLine="420"/>
        <w:rPr>
          <w:b w:val="0"/>
          <w:bCs w:val="0"/>
          <w:sz w:val="21"/>
          <w:szCs w:val="21"/>
        </w:rPr>
      </w:pPr>
      <w:r>
        <w:rPr>
          <w:rFonts w:ascii="宋体" w:hAnsi="宋体" w:eastAsia="宋体" w:cs="宋体"/>
          <w:b w:val="0"/>
          <w:bCs w:val="0"/>
          <w:sz w:val="21"/>
          <w:szCs w:val="21"/>
        </w:rPr>
        <w:t>a）测试对象：优先由知情者（家属、照护者）评定，知情者不可得时可由患者本人自评；</w:t>
      </w:r>
    </w:p>
    <w:p w14:paraId="29FF7649">
      <w:pPr>
        <w:spacing w:line="240" w:lineRule="auto"/>
        <w:ind w:firstLine="420"/>
        <w:rPr>
          <w:b w:val="0"/>
          <w:bCs w:val="0"/>
          <w:sz w:val="21"/>
          <w:szCs w:val="21"/>
        </w:rPr>
      </w:pPr>
      <w:r>
        <w:rPr>
          <w:rFonts w:ascii="宋体" w:hAnsi="宋体" w:eastAsia="宋体" w:cs="宋体"/>
          <w:b w:val="0"/>
          <w:bCs w:val="0"/>
          <w:sz w:val="21"/>
          <w:szCs w:val="21"/>
        </w:rPr>
        <w:t>b）测试时间约3—5分钟，宜在安静、无干扰的环境下进行；</w:t>
      </w:r>
    </w:p>
    <w:p w14:paraId="4F09031C">
      <w:pPr>
        <w:spacing w:line="240" w:lineRule="auto"/>
        <w:ind w:firstLine="420"/>
        <w:rPr>
          <w:b w:val="0"/>
          <w:bCs w:val="0"/>
          <w:sz w:val="21"/>
          <w:szCs w:val="21"/>
        </w:rPr>
      </w:pPr>
      <w:r>
        <w:rPr>
          <w:rFonts w:ascii="宋体" w:hAnsi="宋体" w:eastAsia="宋体" w:cs="宋体"/>
          <w:b w:val="0"/>
          <w:bCs w:val="0"/>
          <w:sz w:val="21"/>
          <w:szCs w:val="21"/>
        </w:rPr>
        <w:t>c）施测时宜逐字宣读题目，强调</w:t>
      </w:r>
      <w:r>
        <w:rPr>
          <w:rFonts w:hint="eastAsia" w:cs="宋体"/>
          <w:b w:val="0"/>
          <w:bCs w:val="0"/>
          <w:sz w:val="21"/>
          <w:szCs w:val="21"/>
          <w:lang w:eastAsia="zh-CN"/>
        </w:rPr>
        <w:t>“</w:t>
      </w:r>
      <w:r>
        <w:rPr>
          <w:rFonts w:ascii="宋体" w:hAnsi="宋体" w:eastAsia="宋体" w:cs="宋体"/>
          <w:b w:val="0"/>
          <w:bCs w:val="0"/>
          <w:sz w:val="21"/>
          <w:szCs w:val="21"/>
        </w:rPr>
        <w:t>因认知问题（而非躯体疾病）引起的改变</w:t>
      </w:r>
      <w:r>
        <w:rPr>
          <w:rFonts w:hint="eastAsia" w:cs="宋体"/>
          <w:b w:val="0"/>
          <w:bCs w:val="0"/>
          <w:sz w:val="21"/>
          <w:szCs w:val="21"/>
          <w:lang w:eastAsia="zh-CN"/>
        </w:rPr>
        <w:t>”</w:t>
      </w:r>
      <w:r>
        <w:rPr>
          <w:rFonts w:ascii="宋体" w:hAnsi="宋体" w:eastAsia="宋体" w:cs="宋体"/>
          <w:b w:val="0"/>
          <w:bCs w:val="0"/>
          <w:sz w:val="21"/>
          <w:szCs w:val="21"/>
        </w:rPr>
        <w:t>；</w:t>
      </w:r>
    </w:p>
    <w:p w14:paraId="7132C0C4">
      <w:pPr>
        <w:spacing w:line="240" w:lineRule="auto"/>
        <w:ind w:firstLine="420"/>
        <w:rPr>
          <w:b w:val="0"/>
          <w:bCs w:val="0"/>
          <w:sz w:val="21"/>
          <w:szCs w:val="21"/>
        </w:rPr>
      </w:pPr>
      <w:r>
        <w:rPr>
          <w:rFonts w:ascii="宋体" w:hAnsi="宋体" w:eastAsia="宋体" w:cs="宋体"/>
          <w:b w:val="0"/>
          <w:bCs w:val="0"/>
          <w:sz w:val="21"/>
          <w:szCs w:val="21"/>
        </w:rPr>
        <w:t>d）每题之间宜停顿1秒以上，允许受试者自行纠正回答，不计入错误；</w:t>
      </w:r>
    </w:p>
    <w:p w14:paraId="03759561">
      <w:pPr>
        <w:spacing w:line="240" w:lineRule="auto"/>
        <w:ind w:firstLine="420"/>
        <w:rPr>
          <w:b w:val="0"/>
          <w:bCs w:val="0"/>
          <w:sz w:val="21"/>
          <w:szCs w:val="21"/>
        </w:rPr>
      </w:pPr>
      <w:r>
        <w:rPr>
          <w:rFonts w:ascii="宋体" w:hAnsi="宋体" w:eastAsia="宋体" w:cs="宋体"/>
          <w:b w:val="0"/>
          <w:bCs w:val="0"/>
          <w:sz w:val="21"/>
          <w:szCs w:val="21"/>
        </w:rPr>
        <w:t>e）评分规则：回答</w:t>
      </w:r>
      <w:r>
        <w:rPr>
          <w:rFonts w:hint="eastAsia" w:cs="宋体"/>
          <w:b w:val="0"/>
          <w:bCs w:val="0"/>
          <w:sz w:val="21"/>
          <w:szCs w:val="21"/>
          <w:lang w:eastAsia="zh-CN"/>
        </w:rPr>
        <w:t>“</w:t>
      </w:r>
      <w:r>
        <w:rPr>
          <w:rFonts w:ascii="宋体" w:hAnsi="宋体" w:eastAsia="宋体" w:cs="宋体"/>
          <w:b w:val="0"/>
          <w:bCs w:val="0"/>
          <w:sz w:val="21"/>
          <w:szCs w:val="21"/>
        </w:rPr>
        <w:t>有改变（是）</w:t>
      </w:r>
      <w:r>
        <w:rPr>
          <w:rFonts w:hint="eastAsia" w:cs="宋体"/>
          <w:b w:val="0"/>
          <w:bCs w:val="0"/>
          <w:sz w:val="21"/>
          <w:szCs w:val="21"/>
          <w:lang w:eastAsia="zh-CN"/>
        </w:rPr>
        <w:t>”</w:t>
      </w:r>
      <w:r>
        <w:rPr>
          <w:rFonts w:ascii="宋体" w:hAnsi="宋体" w:eastAsia="宋体" w:cs="宋体"/>
          <w:b w:val="0"/>
          <w:bCs w:val="0"/>
          <w:sz w:val="21"/>
          <w:szCs w:val="21"/>
        </w:rPr>
        <w:t>计1分，</w:t>
      </w:r>
      <w:r>
        <w:rPr>
          <w:rFonts w:hint="eastAsia" w:cs="宋体"/>
          <w:b w:val="0"/>
          <w:bCs w:val="0"/>
          <w:sz w:val="21"/>
          <w:szCs w:val="21"/>
          <w:lang w:eastAsia="zh-CN"/>
        </w:rPr>
        <w:t>“</w:t>
      </w:r>
      <w:r>
        <w:rPr>
          <w:rFonts w:ascii="宋体" w:hAnsi="宋体" w:eastAsia="宋体" w:cs="宋体"/>
          <w:b w:val="0"/>
          <w:bCs w:val="0"/>
          <w:sz w:val="21"/>
          <w:szCs w:val="21"/>
        </w:rPr>
        <w:t>无改变（否）</w:t>
      </w:r>
      <w:r>
        <w:rPr>
          <w:rFonts w:hint="eastAsia" w:cs="宋体"/>
          <w:b w:val="0"/>
          <w:bCs w:val="0"/>
          <w:sz w:val="21"/>
          <w:szCs w:val="21"/>
          <w:lang w:eastAsia="zh-CN"/>
        </w:rPr>
        <w:t>”</w:t>
      </w:r>
      <w:r>
        <w:rPr>
          <w:rFonts w:ascii="宋体" w:hAnsi="宋体" w:eastAsia="宋体" w:cs="宋体"/>
          <w:b w:val="0"/>
          <w:bCs w:val="0"/>
          <w:sz w:val="21"/>
          <w:szCs w:val="21"/>
        </w:rPr>
        <w:t>计0分，</w:t>
      </w:r>
      <w:r>
        <w:rPr>
          <w:rFonts w:hint="eastAsia" w:cs="宋体"/>
          <w:b w:val="0"/>
          <w:bCs w:val="0"/>
          <w:sz w:val="21"/>
          <w:szCs w:val="21"/>
          <w:lang w:eastAsia="zh-CN"/>
        </w:rPr>
        <w:t>“</w:t>
      </w:r>
      <w:r>
        <w:rPr>
          <w:rFonts w:ascii="宋体" w:hAnsi="宋体" w:eastAsia="宋体" w:cs="宋体"/>
          <w:b w:val="0"/>
          <w:bCs w:val="0"/>
          <w:sz w:val="21"/>
          <w:szCs w:val="21"/>
        </w:rPr>
        <w:t>不知道</w:t>
      </w:r>
      <w:r>
        <w:rPr>
          <w:rFonts w:hint="eastAsia" w:cs="宋体"/>
          <w:b w:val="0"/>
          <w:bCs w:val="0"/>
          <w:sz w:val="21"/>
          <w:szCs w:val="21"/>
          <w:lang w:eastAsia="zh-CN"/>
        </w:rPr>
        <w:t>”</w:t>
      </w:r>
      <w:r>
        <w:rPr>
          <w:rFonts w:ascii="宋体" w:hAnsi="宋体" w:eastAsia="宋体" w:cs="宋体"/>
          <w:b w:val="0"/>
          <w:bCs w:val="0"/>
          <w:sz w:val="21"/>
          <w:szCs w:val="21"/>
        </w:rPr>
        <w:t>不计分，总分范围0—8分；</w:t>
      </w:r>
    </w:p>
    <w:p w14:paraId="439D56F5">
      <w:pPr>
        <w:spacing w:line="240" w:lineRule="auto"/>
        <w:ind w:firstLine="420"/>
        <w:rPr>
          <w:b w:val="0"/>
          <w:bCs w:val="0"/>
          <w:sz w:val="21"/>
          <w:szCs w:val="21"/>
        </w:rPr>
      </w:pPr>
      <w:r>
        <w:rPr>
          <w:rFonts w:ascii="宋体" w:hAnsi="宋体" w:eastAsia="宋体" w:cs="宋体"/>
          <w:b w:val="0"/>
          <w:bCs w:val="0"/>
          <w:sz w:val="21"/>
          <w:szCs w:val="21"/>
        </w:rPr>
        <w:t>f）结果判读：总分0—1分为认知功能正常，≥2分提示可能存在认知障碍，建议进一步使用MoCA量表评估；</w:t>
      </w:r>
    </w:p>
    <w:p w14:paraId="73B41F87">
      <w:pPr>
        <w:spacing w:line="240" w:lineRule="auto"/>
        <w:ind w:firstLine="420"/>
        <w:rPr>
          <w:b w:val="0"/>
          <w:bCs w:val="0"/>
          <w:sz w:val="21"/>
          <w:szCs w:val="21"/>
        </w:rPr>
      </w:pPr>
      <w:r>
        <w:rPr>
          <w:rFonts w:ascii="宋体" w:hAnsi="宋体" w:eastAsia="宋体" w:cs="宋体"/>
          <w:b w:val="0"/>
          <w:bCs w:val="0"/>
          <w:sz w:val="21"/>
          <w:szCs w:val="21"/>
        </w:rPr>
        <w:t>g）AD-8仅为筛查工具，不能单独用于诊断痴呆；0—1分正常者若有其他客观认知表现，仍需进一步检查。</w:t>
      </w:r>
    </w:p>
    <w:p w14:paraId="7DD905F2">
      <w:pPr>
        <w:rPr>
          <w:b w:val="0"/>
          <w:bCs w:val="0"/>
          <w:sz w:val="21"/>
          <w:szCs w:val="21"/>
        </w:rPr>
      </w:pPr>
      <w:r>
        <w:rPr>
          <w:rFonts w:ascii="黑体" w:hAnsi="黑体" w:eastAsia="黑体" w:cs="黑体"/>
          <w:b w:val="0"/>
          <w:bCs w:val="0"/>
          <w:sz w:val="21"/>
          <w:szCs w:val="21"/>
        </w:rPr>
        <w:t>A.4　CDR量表说明</w:t>
      </w:r>
    </w:p>
    <w:p w14:paraId="3883ADDA">
      <w:pPr>
        <w:spacing w:line="240" w:lineRule="auto"/>
        <w:ind w:firstLine="420"/>
        <w:rPr>
          <w:b w:val="0"/>
          <w:bCs w:val="0"/>
          <w:sz w:val="21"/>
          <w:szCs w:val="21"/>
        </w:rPr>
      </w:pPr>
      <w:r>
        <w:rPr>
          <w:rFonts w:ascii="宋体" w:hAnsi="宋体" w:eastAsia="宋体" w:cs="宋体"/>
          <w:b w:val="0"/>
          <w:bCs w:val="0"/>
          <w:sz w:val="21"/>
          <w:szCs w:val="21"/>
        </w:rPr>
        <w:t>CDR量表是痴呆严重程度分期工具，不是认知功能筛查工具。它评定的是</w:t>
      </w:r>
      <w:r>
        <w:rPr>
          <w:rFonts w:hint="eastAsia" w:cs="宋体"/>
          <w:b w:val="0"/>
          <w:bCs w:val="0"/>
          <w:sz w:val="21"/>
          <w:szCs w:val="21"/>
          <w:lang w:eastAsia="zh-CN"/>
        </w:rPr>
        <w:t>“</w:t>
      </w:r>
      <w:r>
        <w:rPr>
          <w:rFonts w:ascii="宋体" w:hAnsi="宋体" w:eastAsia="宋体" w:cs="宋体"/>
          <w:b w:val="0"/>
          <w:bCs w:val="0"/>
          <w:sz w:val="21"/>
          <w:szCs w:val="21"/>
        </w:rPr>
        <w:t>相比本人既往水平的下降幅度</w:t>
      </w:r>
      <w:r>
        <w:rPr>
          <w:rFonts w:hint="eastAsia" w:cs="宋体"/>
          <w:b w:val="0"/>
          <w:bCs w:val="0"/>
          <w:sz w:val="21"/>
          <w:szCs w:val="21"/>
          <w:lang w:eastAsia="zh-CN"/>
        </w:rPr>
        <w:t>”</w:t>
      </w:r>
      <w:r>
        <w:rPr>
          <w:rFonts w:ascii="宋体" w:hAnsi="宋体" w:eastAsia="宋体" w:cs="宋体"/>
          <w:b w:val="0"/>
          <w:bCs w:val="0"/>
          <w:sz w:val="21"/>
          <w:szCs w:val="21"/>
        </w:rPr>
        <w:t>，而不是当下的绝对认知表现。</w:t>
      </w:r>
    </w:p>
    <w:p w14:paraId="0CE16A31">
      <w:pPr>
        <w:rPr>
          <w:b w:val="0"/>
          <w:bCs w:val="0"/>
          <w:sz w:val="21"/>
          <w:szCs w:val="21"/>
        </w:rPr>
      </w:pPr>
      <w:r>
        <w:rPr>
          <w:rFonts w:ascii="黑体" w:hAnsi="黑体" w:eastAsia="黑体" w:cs="黑体"/>
          <w:b w:val="0"/>
          <w:bCs w:val="0"/>
          <w:sz w:val="21"/>
          <w:szCs w:val="21"/>
        </w:rPr>
        <w:t>A.5　各期量化参考</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3"/>
        <w:gridCol w:w="1457"/>
        <w:gridCol w:w="1246"/>
        <w:gridCol w:w="1565"/>
        <w:gridCol w:w="3371"/>
      </w:tblGrid>
      <w:tr w14:paraId="488DA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8" w:type="dxa"/>
            <w:vAlign w:val="center"/>
          </w:tcPr>
          <w:p w14:paraId="29A130F2">
            <w:pPr>
              <w:spacing w:after="0" w:line="240" w:lineRule="auto"/>
              <w:jc w:val="center"/>
              <w:rPr>
                <w:b w:val="0"/>
                <w:bCs w:val="0"/>
                <w:sz w:val="21"/>
                <w:szCs w:val="21"/>
              </w:rPr>
            </w:pPr>
            <w:r>
              <w:rPr>
                <w:rFonts w:ascii="黑体" w:hAnsi="黑体" w:eastAsia="黑体" w:cs="黑体"/>
                <w:b w:val="0"/>
                <w:bCs w:val="0"/>
                <w:sz w:val="21"/>
                <w:szCs w:val="21"/>
              </w:rPr>
              <w:t>分期</w:t>
            </w:r>
          </w:p>
        </w:tc>
        <w:tc>
          <w:tcPr>
            <w:tcW w:w="1464" w:type="dxa"/>
            <w:vAlign w:val="center"/>
          </w:tcPr>
          <w:p w14:paraId="53093B41">
            <w:pPr>
              <w:spacing w:after="0" w:line="240" w:lineRule="auto"/>
              <w:jc w:val="center"/>
              <w:rPr>
                <w:b w:val="0"/>
                <w:bCs w:val="0"/>
                <w:sz w:val="21"/>
                <w:szCs w:val="21"/>
              </w:rPr>
            </w:pPr>
            <w:r>
              <w:rPr>
                <w:rFonts w:ascii="黑体" w:hAnsi="黑体" w:eastAsia="黑体" w:cs="黑体"/>
                <w:b w:val="0"/>
                <w:bCs w:val="0"/>
                <w:sz w:val="21"/>
                <w:szCs w:val="21"/>
              </w:rPr>
              <w:t>MoCA</w:t>
            </w:r>
          </w:p>
        </w:tc>
        <w:tc>
          <w:tcPr>
            <w:tcW w:w="1254" w:type="dxa"/>
            <w:vAlign w:val="center"/>
          </w:tcPr>
          <w:p w14:paraId="2FE23E61">
            <w:pPr>
              <w:spacing w:after="0" w:line="240" w:lineRule="auto"/>
              <w:jc w:val="center"/>
              <w:rPr>
                <w:b w:val="0"/>
                <w:bCs w:val="0"/>
                <w:sz w:val="21"/>
                <w:szCs w:val="21"/>
              </w:rPr>
            </w:pPr>
            <w:r>
              <w:rPr>
                <w:rFonts w:ascii="黑体" w:hAnsi="黑体" w:eastAsia="黑体" w:cs="黑体"/>
                <w:b w:val="0"/>
                <w:bCs w:val="0"/>
                <w:sz w:val="21"/>
                <w:szCs w:val="21"/>
              </w:rPr>
              <w:t>CDR</w:t>
            </w:r>
          </w:p>
        </w:tc>
        <w:tc>
          <w:tcPr>
            <w:tcW w:w="1572" w:type="dxa"/>
            <w:vAlign w:val="center"/>
          </w:tcPr>
          <w:p w14:paraId="1D70C72C">
            <w:pPr>
              <w:spacing w:after="0" w:line="240" w:lineRule="auto"/>
              <w:jc w:val="center"/>
              <w:rPr>
                <w:b w:val="0"/>
                <w:bCs w:val="0"/>
                <w:sz w:val="21"/>
                <w:szCs w:val="21"/>
              </w:rPr>
            </w:pPr>
            <w:r>
              <w:rPr>
                <w:rFonts w:ascii="黑体" w:hAnsi="黑体" w:eastAsia="黑体" w:cs="黑体"/>
                <w:b w:val="0"/>
                <w:bCs w:val="0"/>
                <w:sz w:val="21"/>
                <w:szCs w:val="21"/>
              </w:rPr>
              <w:t>Barthel指数</w:t>
            </w:r>
          </w:p>
        </w:tc>
        <w:tc>
          <w:tcPr>
            <w:tcW w:w="3402" w:type="dxa"/>
            <w:vAlign w:val="center"/>
          </w:tcPr>
          <w:p w14:paraId="353E4E78">
            <w:pPr>
              <w:spacing w:after="0" w:line="240" w:lineRule="auto"/>
              <w:jc w:val="center"/>
              <w:rPr>
                <w:b w:val="0"/>
                <w:bCs w:val="0"/>
                <w:sz w:val="21"/>
                <w:szCs w:val="21"/>
              </w:rPr>
            </w:pPr>
            <w:r>
              <w:rPr>
                <w:rFonts w:ascii="黑体" w:hAnsi="黑体" w:eastAsia="黑体" w:cs="黑体"/>
                <w:b w:val="0"/>
                <w:bCs w:val="0"/>
                <w:sz w:val="21"/>
                <w:szCs w:val="21"/>
              </w:rPr>
              <w:t>主要特征</w:t>
            </w:r>
          </w:p>
        </w:tc>
      </w:tr>
      <w:tr w14:paraId="72CD4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8" w:type="dxa"/>
            <w:vAlign w:val="center"/>
          </w:tcPr>
          <w:p w14:paraId="4ACC0B27">
            <w:pPr>
              <w:spacing w:after="0" w:line="240" w:lineRule="auto"/>
              <w:jc w:val="center"/>
              <w:rPr>
                <w:b w:val="0"/>
                <w:bCs w:val="0"/>
                <w:sz w:val="21"/>
                <w:szCs w:val="21"/>
              </w:rPr>
            </w:pPr>
            <w:r>
              <w:rPr>
                <w:rFonts w:ascii="宋体" w:hAnsi="宋体" w:eastAsia="宋体" w:cs="宋体"/>
                <w:b w:val="0"/>
                <w:bCs w:val="0"/>
                <w:sz w:val="21"/>
                <w:szCs w:val="21"/>
              </w:rPr>
              <w:t>轻度认知障碍（MCI）</w:t>
            </w:r>
          </w:p>
        </w:tc>
        <w:tc>
          <w:tcPr>
            <w:tcW w:w="1464" w:type="dxa"/>
            <w:vAlign w:val="center"/>
          </w:tcPr>
          <w:p w14:paraId="46F48D6C">
            <w:pPr>
              <w:spacing w:after="0" w:line="240" w:lineRule="auto"/>
              <w:jc w:val="center"/>
              <w:rPr>
                <w:b w:val="0"/>
                <w:bCs w:val="0"/>
                <w:sz w:val="21"/>
                <w:szCs w:val="21"/>
              </w:rPr>
            </w:pPr>
            <w:r>
              <w:rPr>
                <w:rFonts w:ascii="宋体" w:hAnsi="宋体" w:eastAsia="宋体" w:cs="宋体"/>
                <w:b w:val="0"/>
                <w:bCs w:val="0"/>
                <w:sz w:val="21"/>
                <w:szCs w:val="21"/>
              </w:rPr>
              <w:t>20—25</w:t>
            </w:r>
          </w:p>
        </w:tc>
        <w:tc>
          <w:tcPr>
            <w:tcW w:w="1254" w:type="dxa"/>
            <w:vAlign w:val="center"/>
          </w:tcPr>
          <w:p w14:paraId="710552FB">
            <w:pPr>
              <w:spacing w:after="0" w:line="240" w:lineRule="auto"/>
              <w:jc w:val="center"/>
              <w:rPr>
                <w:b w:val="0"/>
                <w:bCs w:val="0"/>
                <w:sz w:val="21"/>
                <w:szCs w:val="21"/>
              </w:rPr>
            </w:pPr>
            <w:r>
              <w:rPr>
                <w:rFonts w:ascii="宋体" w:hAnsi="宋体" w:eastAsia="宋体" w:cs="宋体"/>
                <w:b w:val="0"/>
                <w:bCs w:val="0"/>
                <w:sz w:val="21"/>
                <w:szCs w:val="21"/>
              </w:rPr>
              <w:t>0.5</w:t>
            </w:r>
          </w:p>
        </w:tc>
        <w:tc>
          <w:tcPr>
            <w:tcW w:w="1572" w:type="dxa"/>
            <w:vAlign w:val="center"/>
          </w:tcPr>
          <w:p w14:paraId="41F8847C">
            <w:pPr>
              <w:spacing w:after="0" w:line="240" w:lineRule="auto"/>
              <w:jc w:val="center"/>
              <w:rPr>
                <w:b w:val="0"/>
                <w:bCs w:val="0"/>
                <w:sz w:val="21"/>
                <w:szCs w:val="21"/>
              </w:rPr>
            </w:pPr>
            <w:r>
              <w:rPr>
                <w:rFonts w:ascii="宋体" w:hAnsi="宋体" w:eastAsia="宋体" w:cs="宋体"/>
                <w:b w:val="0"/>
                <w:bCs w:val="0"/>
                <w:sz w:val="21"/>
                <w:szCs w:val="21"/>
              </w:rPr>
              <w:t>100</w:t>
            </w:r>
          </w:p>
        </w:tc>
        <w:tc>
          <w:tcPr>
            <w:tcW w:w="3402" w:type="dxa"/>
            <w:vAlign w:val="center"/>
          </w:tcPr>
          <w:p w14:paraId="1D1F1C79">
            <w:pPr>
              <w:spacing w:after="0" w:line="240" w:lineRule="auto"/>
              <w:rPr>
                <w:b w:val="0"/>
                <w:bCs w:val="0"/>
                <w:sz w:val="21"/>
                <w:szCs w:val="21"/>
              </w:rPr>
            </w:pPr>
            <w:r>
              <w:rPr>
                <w:rFonts w:ascii="宋体" w:hAnsi="宋体" w:eastAsia="宋体" w:cs="宋体"/>
                <w:b w:val="0"/>
                <w:bCs w:val="0"/>
                <w:sz w:val="21"/>
                <w:szCs w:val="21"/>
              </w:rPr>
              <w:t>记忆、注意、执行功能出现客观损害，日常生活能力基本正常</w:t>
            </w:r>
          </w:p>
        </w:tc>
      </w:tr>
      <w:tr w14:paraId="03F8B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8" w:type="dxa"/>
            <w:vAlign w:val="center"/>
          </w:tcPr>
          <w:p w14:paraId="4D14A065">
            <w:pPr>
              <w:spacing w:after="0" w:line="240" w:lineRule="auto"/>
              <w:jc w:val="center"/>
              <w:rPr>
                <w:b w:val="0"/>
                <w:bCs w:val="0"/>
                <w:sz w:val="21"/>
                <w:szCs w:val="21"/>
              </w:rPr>
            </w:pPr>
            <w:r>
              <w:rPr>
                <w:rFonts w:ascii="宋体" w:hAnsi="宋体" w:eastAsia="宋体" w:cs="宋体"/>
                <w:b w:val="0"/>
                <w:bCs w:val="0"/>
                <w:sz w:val="21"/>
                <w:szCs w:val="21"/>
              </w:rPr>
              <w:t>轻度痴呆</w:t>
            </w:r>
          </w:p>
        </w:tc>
        <w:tc>
          <w:tcPr>
            <w:tcW w:w="1464" w:type="dxa"/>
            <w:vAlign w:val="center"/>
          </w:tcPr>
          <w:p w14:paraId="6633DDD7">
            <w:pPr>
              <w:spacing w:after="0" w:line="240" w:lineRule="auto"/>
              <w:jc w:val="center"/>
              <w:rPr>
                <w:b w:val="0"/>
                <w:bCs w:val="0"/>
                <w:sz w:val="21"/>
                <w:szCs w:val="21"/>
              </w:rPr>
            </w:pPr>
            <w:r>
              <w:rPr>
                <w:rFonts w:ascii="宋体" w:hAnsi="宋体" w:eastAsia="宋体" w:cs="宋体"/>
                <w:b w:val="0"/>
                <w:bCs w:val="0"/>
                <w:sz w:val="21"/>
                <w:szCs w:val="21"/>
              </w:rPr>
              <w:t>16—19</w:t>
            </w:r>
          </w:p>
        </w:tc>
        <w:tc>
          <w:tcPr>
            <w:tcW w:w="1254" w:type="dxa"/>
            <w:vAlign w:val="center"/>
          </w:tcPr>
          <w:p w14:paraId="5D23A0B9">
            <w:pPr>
              <w:spacing w:after="0" w:line="240" w:lineRule="auto"/>
              <w:jc w:val="center"/>
              <w:rPr>
                <w:b w:val="0"/>
                <w:bCs w:val="0"/>
                <w:sz w:val="21"/>
                <w:szCs w:val="21"/>
              </w:rPr>
            </w:pPr>
            <w:r>
              <w:rPr>
                <w:rFonts w:ascii="宋体" w:hAnsi="宋体" w:eastAsia="宋体" w:cs="宋体"/>
                <w:b w:val="0"/>
                <w:bCs w:val="0"/>
                <w:sz w:val="21"/>
                <w:szCs w:val="21"/>
              </w:rPr>
              <w:t>1</w:t>
            </w:r>
          </w:p>
        </w:tc>
        <w:tc>
          <w:tcPr>
            <w:tcW w:w="1572" w:type="dxa"/>
            <w:vAlign w:val="center"/>
          </w:tcPr>
          <w:p w14:paraId="4C27CBB4">
            <w:pPr>
              <w:spacing w:after="0" w:line="240" w:lineRule="auto"/>
              <w:jc w:val="center"/>
              <w:rPr>
                <w:b w:val="0"/>
                <w:bCs w:val="0"/>
                <w:sz w:val="21"/>
                <w:szCs w:val="21"/>
              </w:rPr>
            </w:pPr>
            <w:r>
              <w:rPr>
                <w:rFonts w:ascii="宋体" w:hAnsi="宋体" w:eastAsia="宋体" w:cs="宋体"/>
                <w:b w:val="0"/>
                <w:bCs w:val="0"/>
                <w:sz w:val="21"/>
                <w:szCs w:val="21"/>
              </w:rPr>
              <w:t>61—99</w:t>
            </w:r>
          </w:p>
        </w:tc>
        <w:tc>
          <w:tcPr>
            <w:tcW w:w="3402" w:type="dxa"/>
            <w:vAlign w:val="center"/>
          </w:tcPr>
          <w:p w14:paraId="6F30D477">
            <w:pPr>
              <w:spacing w:after="0" w:line="240" w:lineRule="auto"/>
              <w:rPr>
                <w:b w:val="0"/>
                <w:bCs w:val="0"/>
                <w:sz w:val="21"/>
                <w:szCs w:val="21"/>
              </w:rPr>
            </w:pPr>
            <w:r>
              <w:rPr>
                <w:rFonts w:ascii="宋体" w:hAnsi="宋体" w:eastAsia="宋体" w:cs="宋体"/>
                <w:b w:val="0"/>
                <w:bCs w:val="0"/>
                <w:sz w:val="21"/>
                <w:szCs w:val="21"/>
              </w:rPr>
              <w:t>认知损害明显加重，日常生活能力轻度受损，需部分照护支持</w:t>
            </w:r>
          </w:p>
        </w:tc>
      </w:tr>
      <w:tr w14:paraId="01971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8" w:type="dxa"/>
            <w:vAlign w:val="center"/>
          </w:tcPr>
          <w:p w14:paraId="679D3CE0">
            <w:pPr>
              <w:spacing w:after="0" w:line="240" w:lineRule="auto"/>
              <w:jc w:val="center"/>
              <w:rPr>
                <w:b w:val="0"/>
                <w:bCs w:val="0"/>
                <w:sz w:val="21"/>
                <w:szCs w:val="21"/>
              </w:rPr>
            </w:pPr>
            <w:r>
              <w:rPr>
                <w:rFonts w:ascii="宋体" w:hAnsi="宋体" w:eastAsia="宋体" w:cs="宋体"/>
                <w:b w:val="0"/>
                <w:bCs w:val="0"/>
                <w:sz w:val="21"/>
                <w:szCs w:val="21"/>
              </w:rPr>
              <w:t>中度痴呆</w:t>
            </w:r>
          </w:p>
        </w:tc>
        <w:tc>
          <w:tcPr>
            <w:tcW w:w="1464" w:type="dxa"/>
            <w:vAlign w:val="center"/>
          </w:tcPr>
          <w:p w14:paraId="0F9A9047">
            <w:pPr>
              <w:spacing w:after="0" w:line="240" w:lineRule="auto"/>
              <w:jc w:val="center"/>
              <w:rPr>
                <w:b w:val="0"/>
                <w:bCs w:val="0"/>
                <w:sz w:val="21"/>
                <w:szCs w:val="21"/>
              </w:rPr>
            </w:pPr>
            <w:r>
              <w:rPr>
                <w:rFonts w:ascii="宋体" w:hAnsi="宋体" w:eastAsia="宋体" w:cs="宋体"/>
                <w:b w:val="0"/>
                <w:bCs w:val="0"/>
                <w:sz w:val="21"/>
                <w:szCs w:val="21"/>
              </w:rPr>
              <w:t>10—15</w:t>
            </w:r>
          </w:p>
        </w:tc>
        <w:tc>
          <w:tcPr>
            <w:tcW w:w="1254" w:type="dxa"/>
            <w:vAlign w:val="center"/>
          </w:tcPr>
          <w:p w14:paraId="7F4639E7">
            <w:pPr>
              <w:spacing w:after="0" w:line="240" w:lineRule="auto"/>
              <w:jc w:val="center"/>
              <w:rPr>
                <w:b w:val="0"/>
                <w:bCs w:val="0"/>
                <w:sz w:val="21"/>
                <w:szCs w:val="21"/>
              </w:rPr>
            </w:pPr>
            <w:r>
              <w:rPr>
                <w:rFonts w:ascii="宋体" w:hAnsi="宋体" w:eastAsia="宋体" w:cs="宋体"/>
                <w:b w:val="0"/>
                <w:bCs w:val="0"/>
                <w:sz w:val="21"/>
                <w:szCs w:val="21"/>
              </w:rPr>
              <w:t>2</w:t>
            </w:r>
          </w:p>
        </w:tc>
        <w:tc>
          <w:tcPr>
            <w:tcW w:w="1572" w:type="dxa"/>
            <w:vAlign w:val="center"/>
          </w:tcPr>
          <w:p w14:paraId="7A7D8A4F">
            <w:pPr>
              <w:spacing w:after="0" w:line="240" w:lineRule="auto"/>
              <w:jc w:val="center"/>
              <w:rPr>
                <w:b w:val="0"/>
                <w:bCs w:val="0"/>
                <w:sz w:val="21"/>
                <w:szCs w:val="21"/>
              </w:rPr>
            </w:pPr>
            <w:r>
              <w:rPr>
                <w:rFonts w:ascii="宋体" w:hAnsi="宋体" w:eastAsia="宋体" w:cs="宋体"/>
                <w:b w:val="0"/>
                <w:bCs w:val="0"/>
                <w:sz w:val="21"/>
                <w:szCs w:val="21"/>
              </w:rPr>
              <w:t>41—60</w:t>
            </w:r>
          </w:p>
        </w:tc>
        <w:tc>
          <w:tcPr>
            <w:tcW w:w="3402" w:type="dxa"/>
            <w:vAlign w:val="center"/>
          </w:tcPr>
          <w:p w14:paraId="746AECF3">
            <w:pPr>
              <w:spacing w:after="0" w:line="240" w:lineRule="auto"/>
              <w:rPr>
                <w:b w:val="0"/>
                <w:bCs w:val="0"/>
                <w:sz w:val="21"/>
                <w:szCs w:val="21"/>
              </w:rPr>
            </w:pPr>
            <w:r>
              <w:rPr>
                <w:rFonts w:ascii="宋体" w:hAnsi="宋体" w:eastAsia="宋体" w:cs="宋体"/>
                <w:b w:val="0"/>
                <w:bCs w:val="0"/>
                <w:sz w:val="21"/>
                <w:szCs w:val="21"/>
              </w:rPr>
              <w:t>认知损害进一步加重，日常生活能力中度受损</w:t>
            </w:r>
          </w:p>
        </w:tc>
      </w:tr>
      <w:tr w14:paraId="19745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8" w:type="dxa"/>
            <w:vAlign w:val="center"/>
          </w:tcPr>
          <w:p w14:paraId="4D171C07">
            <w:pPr>
              <w:spacing w:after="0" w:line="240" w:lineRule="auto"/>
              <w:jc w:val="center"/>
              <w:rPr>
                <w:b w:val="0"/>
                <w:bCs w:val="0"/>
                <w:sz w:val="21"/>
                <w:szCs w:val="21"/>
              </w:rPr>
            </w:pPr>
            <w:r>
              <w:rPr>
                <w:rFonts w:ascii="宋体" w:hAnsi="宋体" w:eastAsia="宋体" w:cs="宋体"/>
                <w:b w:val="0"/>
                <w:bCs w:val="0"/>
                <w:sz w:val="21"/>
                <w:szCs w:val="21"/>
              </w:rPr>
              <w:t>重度痴呆</w:t>
            </w:r>
          </w:p>
        </w:tc>
        <w:tc>
          <w:tcPr>
            <w:tcW w:w="1464" w:type="dxa"/>
            <w:vAlign w:val="center"/>
          </w:tcPr>
          <w:p w14:paraId="40FBB856">
            <w:pPr>
              <w:spacing w:after="0" w:line="240" w:lineRule="auto"/>
              <w:jc w:val="center"/>
              <w:rPr>
                <w:b w:val="0"/>
                <w:bCs w:val="0"/>
                <w:sz w:val="21"/>
                <w:szCs w:val="21"/>
              </w:rPr>
            </w:pPr>
            <w:r>
              <w:rPr>
                <w:rFonts w:ascii="宋体" w:hAnsi="宋体" w:eastAsia="宋体" w:cs="宋体"/>
                <w:b w:val="0"/>
                <w:bCs w:val="0"/>
                <w:sz w:val="21"/>
                <w:szCs w:val="21"/>
              </w:rPr>
              <w:t>≤9</w:t>
            </w:r>
          </w:p>
        </w:tc>
        <w:tc>
          <w:tcPr>
            <w:tcW w:w="1254" w:type="dxa"/>
            <w:vAlign w:val="center"/>
          </w:tcPr>
          <w:p w14:paraId="3935CC5C">
            <w:pPr>
              <w:spacing w:after="0" w:line="240" w:lineRule="auto"/>
              <w:jc w:val="center"/>
              <w:rPr>
                <w:b w:val="0"/>
                <w:bCs w:val="0"/>
                <w:sz w:val="21"/>
                <w:szCs w:val="21"/>
              </w:rPr>
            </w:pPr>
            <w:r>
              <w:rPr>
                <w:rFonts w:ascii="宋体" w:hAnsi="宋体" w:eastAsia="宋体" w:cs="宋体"/>
                <w:b w:val="0"/>
                <w:bCs w:val="0"/>
                <w:sz w:val="21"/>
                <w:szCs w:val="21"/>
              </w:rPr>
              <w:t>3</w:t>
            </w:r>
          </w:p>
        </w:tc>
        <w:tc>
          <w:tcPr>
            <w:tcW w:w="1572" w:type="dxa"/>
            <w:vAlign w:val="center"/>
          </w:tcPr>
          <w:p w14:paraId="6182B3EC">
            <w:pPr>
              <w:spacing w:after="0" w:line="240" w:lineRule="auto"/>
              <w:jc w:val="center"/>
              <w:rPr>
                <w:b w:val="0"/>
                <w:bCs w:val="0"/>
                <w:sz w:val="21"/>
                <w:szCs w:val="21"/>
              </w:rPr>
            </w:pPr>
            <w:r>
              <w:rPr>
                <w:rFonts w:ascii="宋体" w:hAnsi="宋体" w:eastAsia="宋体" w:cs="宋体"/>
                <w:b w:val="0"/>
                <w:bCs w:val="0"/>
                <w:sz w:val="21"/>
                <w:szCs w:val="21"/>
              </w:rPr>
              <w:t>≤40</w:t>
            </w:r>
          </w:p>
        </w:tc>
        <w:tc>
          <w:tcPr>
            <w:tcW w:w="3402" w:type="dxa"/>
            <w:vAlign w:val="center"/>
          </w:tcPr>
          <w:p w14:paraId="60E3CF13">
            <w:pPr>
              <w:spacing w:after="0" w:line="240" w:lineRule="auto"/>
              <w:rPr>
                <w:b w:val="0"/>
                <w:bCs w:val="0"/>
                <w:sz w:val="21"/>
                <w:szCs w:val="21"/>
              </w:rPr>
            </w:pPr>
            <w:r>
              <w:rPr>
                <w:rFonts w:ascii="宋体" w:hAnsi="宋体" w:eastAsia="宋体" w:cs="宋体"/>
                <w:b w:val="0"/>
                <w:bCs w:val="0"/>
                <w:sz w:val="21"/>
                <w:szCs w:val="21"/>
              </w:rPr>
              <w:t>认知功能严重衰退，日常生活能力完全丧失，需全面照护</w:t>
            </w:r>
          </w:p>
        </w:tc>
      </w:tr>
    </w:tbl>
    <w:p w14:paraId="5266D403">
      <w:pPr>
        <w:spacing w:line="240" w:lineRule="auto"/>
        <w:ind w:firstLine="420"/>
        <w:rPr>
          <w:b w:val="0"/>
          <w:bCs w:val="0"/>
          <w:sz w:val="21"/>
          <w:szCs w:val="21"/>
        </w:rPr>
      </w:pPr>
      <w:r>
        <w:rPr>
          <w:rFonts w:ascii="宋体" w:hAnsi="宋体" w:eastAsia="宋体" w:cs="宋体"/>
          <w:b w:val="0"/>
          <w:bCs w:val="0"/>
          <w:sz w:val="21"/>
          <w:szCs w:val="21"/>
        </w:rPr>
        <w:t>注：以上量表分数仅为分期参考，临床判断宜结合患者个体情况由专业人员评估。</w:t>
      </w:r>
    </w:p>
    <w:p w14:paraId="53B7896F">
      <w:pPr>
        <w:rPr>
          <w:b w:val="0"/>
          <w:bCs w:val="0"/>
          <w:sz w:val="21"/>
          <w:szCs w:val="21"/>
        </w:rPr>
      </w:pPr>
      <w:r>
        <w:rPr>
          <w:rFonts w:ascii="黑体" w:hAnsi="黑体" w:eastAsia="黑体" w:cs="黑体"/>
          <w:b w:val="0"/>
          <w:bCs w:val="0"/>
          <w:sz w:val="21"/>
          <w:szCs w:val="21"/>
        </w:rPr>
        <w:t>A.6　评估结果到玩具适配的决策建议</w:t>
      </w:r>
    </w:p>
    <w:p w14:paraId="1C430C21">
      <w:pPr>
        <w:spacing w:line="240" w:lineRule="auto"/>
        <w:ind w:firstLine="420"/>
        <w:rPr>
          <w:b w:val="0"/>
          <w:bCs w:val="0"/>
          <w:sz w:val="21"/>
          <w:szCs w:val="21"/>
        </w:rPr>
      </w:pPr>
      <w:r>
        <w:rPr>
          <w:rFonts w:ascii="宋体" w:hAnsi="宋体" w:eastAsia="宋体" w:cs="宋体"/>
          <w:b w:val="0"/>
          <w:bCs w:val="0"/>
          <w:sz w:val="21"/>
          <w:szCs w:val="21"/>
        </w:rPr>
        <w:t>a）轻度认知障碍（MCI）：可选择中高级认知训练玩具，重点训练执行功能和复杂记忆；</w:t>
      </w:r>
    </w:p>
    <w:p w14:paraId="2DBEB050">
      <w:pPr>
        <w:spacing w:line="240" w:lineRule="auto"/>
        <w:ind w:firstLine="420"/>
        <w:rPr>
          <w:b w:val="0"/>
          <w:bCs w:val="0"/>
          <w:sz w:val="21"/>
          <w:szCs w:val="21"/>
        </w:rPr>
      </w:pPr>
      <w:r>
        <w:rPr>
          <w:rFonts w:ascii="宋体" w:hAnsi="宋体" w:eastAsia="宋体" w:cs="宋体"/>
          <w:b w:val="0"/>
          <w:bCs w:val="0"/>
          <w:sz w:val="21"/>
          <w:szCs w:val="21"/>
        </w:rPr>
        <w:t>b）轻度痴呆：选择初级到中级玩具，注重成功体验和正向反馈；</w:t>
      </w:r>
    </w:p>
    <w:p w14:paraId="2342EFEA">
      <w:pPr>
        <w:spacing w:line="240" w:lineRule="auto"/>
        <w:ind w:firstLine="420"/>
        <w:rPr>
          <w:b w:val="0"/>
          <w:bCs w:val="0"/>
          <w:sz w:val="21"/>
          <w:szCs w:val="21"/>
        </w:rPr>
      </w:pPr>
      <w:r>
        <w:rPr>
          <w:rFonts w:ascii="宋体" w:hAnsi="宋体" w:eastAsia="宋体" w:cs="宋体"/>
          <w:b w:val="0"/>
          <w:bCs w:val="0"/>
          <w:sz w:val="21"/>
          <w:szCs w:val="21"/>
        </w:rPr>
        <w:t>c）中度痴呆：选择感官刺激和简化认知玩具，强调情感体验而非任务完成；</w:t>
      </w:r>
    </w:p>
    <w:p w14:paraId="528A9491">
      <w:pPr>
        <w:spacing w:line="240" w:lineRule="auto"/>
        <w:ind w:firstLine="420"/>
        <w:rPr>
          <w:b w:val="0"/>
          <w:bCs w:val="0"/>
          <w:sz w:val="21"/>
          <w:szCs w:val="21"/>
        </w:rPr>
      </w:pPr>
      <w:r>
        <w:rPr>
          <w:rFonts w:ascii="宋体" w:hAnsi="宋体" w:eastAsia="宋体" w:cs="宋体"/>
          <w:b w:val="0"/>
          <w:bCs w:val="0"/>
          <w:sz w:val="21"/>
          <w:szCs w:val="21"/>
        </w:rPr>
        <w:t>d）重度痴呆：以安抚类玩具为主，不设置任务目标，注重陪伴和安全感。</w:t>
      </w:r>
    </w:p>
    <w:p w14:paraId="1357C42F">
      <w:r>
        <w:br w:type="page"/>
      </w:r>
    </w:p>
    <w:bookmarkEnd w:id="9"/>
    <w:p w14:paraId="3028B8FE">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bookmarkStart w:id="10" w:name="_Toc31102"/>
      <w:bookmarkStart w:id="11" w:name="_Toc32420"/>
    </w:p>
    <w:p w14:paraId="0179E675">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0E3FE3FD">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r>
        <w:rPr>
          <w:rFonts w:hint="eastAsia"/>
          <w:lang w:val="en-US" w:eastAsia="zh-CN"/>
        </w:rPr>
        <w:t>附  录  B</w:t>
      </w:r>
      <w:r>
        <w:br w:type="textWrapping"/>
      </w:r>
      <w:bookmarkStart w:id="12" w:name="_Toc1651909"/>
      <w:r>
        <w:rPr>
          <w:rFonts w:hint="eastAsia"/>
          <w:lang w:eastAsia="zh-CN"/>
        </w:rPr>
        <w:t>（</w:t>
      </w:r>
      <w:r>
        <w:rPr>
          <w:rFonts w:hint="eastAsia"/>
        </w:rPr>
        <w:t>资料性</w:t>
      </w:r>
      <w:r>
        <w:rPr>
          <w:rFonts w:hint="eastAsia"/>
          <w:lang w:eastAsia="zh-CN"/>
        </w:rPr>
        <w:t>）</w:t>
      </w:r>
      <w:r>
        <w:br w:type="textWrapping"/>
      </w:r>
      <w:bookmarkEnd w:id="10"/>
      <w:bookmarkEnd w:id="11"/>
      <w:bookmarkEnd w:id="12"/>
      <w:r>
        <w:rPr>
          <w:rFonts w:hint="eastAsia"/>
          <w:lang w:val="en-US" w:eastAsia="zh-CN"/>
        </w:rPr>
        <w:t>智能乐龄玩具数据报告示例</w:t>
      </w:r>
    </w:p>
    <w:p w14:paraId="51D48BB3">
      <w:pPr>
        <w:spacing w:line="240" w:lineRule="auto"/>
        <w:ind w:firstLine="420"/>
        <w:rPr>
          <w:b w:val="0"/>
          <w:bCs w:val="0"/>
          <w:sz w:val="21"/>
          <w:szCs w:val="21"/>
        </w:rPr>
      </w:pPr>
      <w:bookmarkStart w:id="13" w:name="_Toc7305"/>
      <w:r>
        <w:rPr>
          <w:rFonts w:ascii="宋体" w:hAnsi="宋体" w:eastAsia="宋体" w:cs="宋体"/>
          <w:b w:val="0"/>
          <w:bCs w:val="0"/>
          <w:sz w:val="21"/>
          <w:szCs w:val="21"/>
        </w:rPr>
        <w:t>本附录给出了智能乐龄玩具数据报告的结构示例与呈现要求，供产品设计与服务机构参考。</w:t>
      </w:r>
    </w:p>
    <w:p w14:paraId="39CE32B1">
      <w:pPr>
        <w:rPr>
          <w:b w:val="0"/>
          <w:bCs w:val="0"/>
          <w:sz w:val="21"/>
          <w:szCs w:val="21"/>
        </w:rPr>
      </w:pPr>
      <w:r>
        <w:rPr>
          <w:rFonts w:ascii="黑体" w:hAnsi="黑体" w:eastAsia="黑体" w:cs="黑体"/>
          <w:b w:val="0"/>
          <w:bCs w:val="0"/>
          <w:sz w:val="21"/>
          <w:szCs w:val="21"/>
        </w:rPr>
        <w:t>B.1　报告结构</w:t>
      </w:r>
    </w:p>
    <w:p w14:paraId="56E66DC3">
      <w:pPr>
        <w:spacing w:line="240" w:lineRule="auto"/>
        <w:ind w:firstLine="420"/>
        <w:rPr>
          <w:b w:val="0"/>
          <w:bCs w:val="0"/>
          <w:sz w:val="21"/>
          <w:szCs w:val="21"/>
        </w:rPr>
      </w:pPr>
      <w:r>
        <w:rPr>
          <w:rFonts w:ascii="宋体" w:hAnsi="宋体" w:eastAsia="宋体" w:cs="宋体"/>
          <w:b w:val="0"/>
          <w:bCs w:val="0"/>
          <w:sz w:val="21"/>
          <w:szCs w:val="21"/>
        </w:rPr>
        <w:t>智能乐龄玩具的周报/月报可包含以下模块：</w:t>
      </w:r>
    </w:p>
    <w:p w14:paraId="7FDBCED7">
      <w:pPr>
        <w:spacing w:line="240" w:lineRule="auto"/>
        <w:ind w:firstLine="420"/>
        <w:rPr>
          <w:b w:val="0"/>
          <w:bCs w:val="0"/>
          <w:sz w:val="21"/>
          <w:szCs w:val="21"/>
        </w:rPr>
      </w:pPr>
      <w:r>
        <w:rPr>
          <w:rFonts w:ascii="宋体" w:hAnsi="宋体" w:eastAsia="宋体" w:cs="宋体"/>
          <w:b w:val="0"/>
          <w:bCs w:val="0"/>
          <w:sz w:val="21"/>
          <w:szCs w:val="21"/>
        </w:rPr>
        <w:t>a）使用概况：本周/月使用天数、总时长、最常使用的玩具类型；</w:t>
      </w:r>
    </w:p>
    <w:p w14:paraId="638AFBAB">
      <w:pPr>
        <w:spacing w:line="240" w:lineRule="auto"/>
        <w:ind w:firstLine="420"/>
        <w:rPr>
          <w:b w:val="0"/>
          <w:bCs w:val="0"/>
          <w:sz w:val="21"/>
          <w:szCs w:val="21"/>
        </w:rPr>
      </w:pPr>
      <w:r>
        <w:rPr>
          <w:rFonts w:ascii="宋体" w:hAnsi="宋体" w:eastAsia="宋体" w:cs="宋体"/>
          <w:b w:val="0"/>
          <w:bCs w:val="0"/>
          <w:sz w:val="21"/>
          <w:szCs w:val="21"/>
        </w:rPr>
        <w:t>b）认知表现趋势：各训练模块的正确率变化曲线、反应时间变化曲线；</w:t>
      </w:r>
    </w:p>
    <w:p w14:paraId="64227262">
      <w:pPr>
        <w:spacing w:line="240" w:lineRule="auto"/>
        <w:ind w:firstLine="420"/>
        <w:rPr>
          <w:b w:val="0"/>
          <w:bCs w:val="0"/>
          <w:sz w:val="21"/>
          <w:szCs w:val="21"/>
        </w:rPr>
      </w:pPr>
      <w:r>
        <w:rPr>
          <w:rFonts w:ascii="宋体" w:hAnsi="宋体" w:eastAsia="宋体" w:cs="宋体"/>
          <w:b w:val="0"/>
          <w:bCs w:val="0"/>
          <w:sz w:val="21"/>
          <w:szCs w:val="21"/>
        </w:rPr>
        <w:t>c）情绪状态记录：自评情绪分布（开心/平静/焦虑/低落）、照护者观察记录；</w:t>
      </w:r>
    </w:p>
    <w:p w14:paraId="48E7751D">
      <w:pPr>
        <w:spacing w:line="240" w:lineRule="auto"/>
        <w:ind w:firstLine="420"/>
        <w:rPr>
          <w:b w:val="0"/>
          <w:bCs w:val="0"/>
          <w:sz w:val="21"/>
          <w:szCs w:val="21"/>
        </w:rPr>
      </w:pPr>
      <w:r>
        <w:rPr>
          <w:rFonts w:ascii="宋体" w:hAnsi="宋体" w:eastAsia="宋体" w:cs="宋体"/>
          <w:b w:val="0"/>
          <w:bCs w:val="0"/>
          <w:sz w:val="21"/>
          <w:szCs w:val="21"/>
        </w:rPr>
        <w:t>d）异常事件记录：使用中断、拒绝使用、情绪激动等事件的日期和情境；</w:t>
      </w:r>
    </w:p>
    <w:p w14:paraId="2880436C">
      <w:pPr>
        <w:spacing w:line="240" w:lineRule="auto"/>
        <w:ind w:firstLine="420"/>
        <w:rPr>
          <w:b w:val="0"/>
          <w:bCs w:val="0"/>
          <w:sz w:val="21"/>
          <w:szCs w:val="21"/>
        </w:rPr>
      </w:pPr>
      <w:r>
        <w:rPr>
          <w:rFonts w:ascii="宋体" w:hAnsi="宋体" w:eastAsia="宋体" w:cs="宋体"/>
          <w:b w:val="0"/>
          <w:bCs w:val="0"/>
          <w:sz w:val="21"/>
          <w:szCs w:val="21"/>
        </w:rPr>
        <w:t>e）建议：基于数据分析的玩具更换或难度调整建议。</w:t>
      </w:r>
    </w:p>
    <w:p w14:paraId="170064AB">
      <w:pPr>
        <w:rPr>
          <w:b w:val="0"/>
          <w:bCs w:val="0"/>
          <w:sz w:val="21"/>
          <w:szCs w:val="21"/>
        </w:rPr>
      </w:pPr>
      <w:r>
        <w:rPr>
          <w:rFonts w:ascii="黑体" w:hAnsi="黑体" w:eastAsia="黑体" w:cs="黑体"/>
          <w:b w:val="0"/>
          <w:bCs w:val="0"/>
          <w:sz w:val="21"/>
          <w:szCs w:val="21"/>
        </w:rPr>
        <w:t>B.2　数据呈现要求</w:t>
      </w:r>
    </w:p>
    <w:p w14:paraId="62886C52">
      <w:pPr>
        <w:spacing w:line="240" w:lineRule="auto"/>
        <w:ind w:firstLine="420"/>
        <w:rPr>
          <w:b w:val="0"/>
          <w:bCs w:val="0"/>
          <w:sz w:val="21"/>
          <w:szCs w:val="21"/>
        </w:rPr>
      </w:pPr>
      <w:r>
        <w:rPr>
          <w:rFonts w:ascii="宋体" w:hAnsi="宋体" w:eastAsia="宋体" w:cs="宋体"/>
          <w:b w:val="0"/>
          <w:bCs w:val="0"/>
          <w:sz w:val="21"/>
          <w:szCs w:val="21"/>
        </w:rPr>
        <w:t>a）图表宜简洁明了，使用大号字体和鲜明色彩区分数据系列；</w:t>
      </w:r>
    </w:p>
    <w:p w14:paraId="30AFBA4C">
      <w:pPr>
        <w:spacing w:line="240" w:lineRule="auto"/>
        <w:ind w:firstLine="420"/>
        <w:rPr>
          <w:b w:val="0"/>
          <w:bCs w:val="0"/>
          <w:sz w:val="21"/>
          <w:szCs w:val="21"/>
        </w:rPr>
      </w:pPr>
      <w:r>
        <w:rPr>
          <w:rFonts w:ascii="宋体" w:hAnsi="宋体" w:eastAsia="宋体" w:cs="宋体"/>
          <w:b w:val="0"/>
          <w:bCs w:val="0"/>
          <w:sz w:val="21"/>
          <w:szCs w:val="21"/>
        </w:rPr>
        <w:t>b）宜同时提供图形化展示和文字解读，照顾不同阅读偏好；</w:t>
      </w:r>
    </w:p>
    <w:p w14:paraId="1EA15E99">
      <w:pPr>
        <w:spacing w:line="240" w:lineRule="auto"/>
        <w:ind w:firstLine="420"/>
        <w:rPr>
          <w:rFonts w:ascii="宋体" w:hAnsi="宋体" w:eastAsia="宋体" w:cs="宋体"/>
          <w:b w:val="0"/>
          <w:bCs w:val="0"/>
          <w:sz w:val="21"/>
          <w:szCs w:val="21"/>
        </w:rPr>
      </w:pPr>
      <w:r>
        <w:rPr>
          <w:rFonts w:ascii="宋体" w:hAnsi="宋体" w:eastAsia="宋体" w:cs="宋体"/>
          <w:b w:val="0"/>
          <w:bCs w:val="0"/>
          <w:sz w:val="21"/>
          <w:szCs w:val="21"/>
        </w:rPr>
        <w:t>c）趋势描述宜使用通俗语言，避免专业术语；</w:t>
      </w:r>
    </w:p>
    <w:p w14:paraId="18B8AC8A">
      <w:pPr>
        <w:spacing w:line="240" w:lineRule="auto"/>
        <w:ind w:firstLine="420"/>
        <w:rPr>
          <w:rFonts w:ascii="宋体" w:hAnsi="宋体" w:eastAsia="宋体" w:cs="宋体"/>
          <w:b w:val="0"/>
          <w:bCs w:val="0"/>
          <w:sz w:val="21"/>
          <w:szCs w:val="21"/>
        </w:rPr>
      </w:pPr>
      <w:r>
        <w:rPr>
          <w:rFonts w:ascii="宋体" w:hAnsi="宋体" w:eastAsia="宋体" w:cs="宋体"/>
          <w:b w:val="0"/>
          <w:bCs w:val="0"/>
          <w:sz w:val="21"/>
          <w:szCs w:val="21"/>
        </w:rPr>
        <w:t>d）报告宜可导出为PDF格式，便于打印和分享给相关团队。</w:t>
      </w:r>
      <w:bookmarkEnd w:id="13"/>
    </w:p>
    <w:p w14:paraId="3F57ED6E">
      <w:pPr>
        <w:pStyle w:val="91"/>
        <w:keepNext/>
        <w:keepLines w:val="0"/>
        <w:pageBreakBefore/>
        <w:widowControl/>
        <w:pBdr>
          <w:top w:val="none" w:color="auto" w:sz="0" w:space="0"/>
          <w:left w:val="none" w:color="auto" w:sz="0" w:space="0"/>
          <w:bottom w:val="none" w:color="auto" w:sz="0" w:space="0"/>
          <w:right w:val="none" w:color="auto" w:sz="0" w:space="0"/>
        </w:pBdr>
        <w:shd w:val="clear" w:color="FFFFFF" w:fill="FFFFFF"/>
        <w:kinsoku/>
        <w:wordWrap/>
        <w:overflowPunct/>
        <w:topLinePunct w:val="0"/>
        <w:autoSpaceDE/>
        <w:autoSpaceDN/>
        <w:bidi w:val="0"/>
        <w:adjustRightInd/>
        <w:snapToGrid/>
        <w:spacing w:before="0" w:after="0" w:line="960" w:lineRule="auto"/>
        <w:textAlignment w:val="auto"/>
        <w:rPr>
          <w:rFonts w:hint="eastAsia" w:ascii="黑体" w:hAnsi="黑体" w:eastAsia="黑体" w:cs="黑体"/>
        </w:rPr>
      </w:pPr>
      <w:r>
        <w:rPr>
          <w:rFonts w:hint="eastAsia" w:ascii="黑体" w:hAnsi="黑体" w:eastAsia="黑体" w:cs="黑体"/>
          <w:lang w:val="en-US" w:eastAsia="zh-CN"/>
        </w:rPr>
        <w:t>参</w:t>
      </w:r>
      <w:r>
        <w:rPr>
          <w:rFonts w:hint="eastAsia" w:ascii="黑体" w:hAnsi="黑体" w:eastAsia="黑体" w:cs="黑体"/>
        </w:rPr>
        <w:t> 考 文 献</w:t>
      </w:r>
    </w:p>
    <w:p w14:paraId="4F4DDA7E">
      <w:pPr>
        <w:pStyle w:val="90"/>
        <w:pBdr>
          <w:top w:val="none" w:color="auto" w:sz="0" w:space="0"/>
          <w:left w:val="none" w:color="auto" w:sz="0" w:space="0"/>
          <w:bottom w:val="none" w:color="auto" w:sz="0" w:space="0"/>
          <w:right w:val="none" w:color="auto" w:sz="0" w:space="0"/>
        </w:pBdr>
        <w:shd w:val="clear" w:color="FFFFFF" w:fill="FFFFFF"/>
        <w:ind w:firstLine="420"/>
        <w:rPr>
          <w:rFonts w:hint="eastAsia" w:ascii="宋体" w:hAnsi="宋体" w:eastAsia="宋体" w:cs="宋体"/>
          <w:lang w:val="en-US" w:eastAsia="zh-CN"/>
        </w:rPr>
      </w:pPr>
      <w:r>
        <w:rPr>
          <w:rFonts w:hint="eastAsia" w:ascii="宋体" w:hAnsi="宋体" w:eastAsia="宋体" w:cs="宋体"/>
          <w:lang w:val="en-US" w:eastAsia="zh-CN"/>
        </w:rPr>
        <w:t>中国国家标准化管理委员会. 标准化工作导则　第1部分：标准化文件的结构和起草规则：GB/T 1.1—2020[S]. 北京：中国标准出版社，2020.</w:t>
      </w:r>
    </w:p>
    <w:p w14:paraId="1CEF4955">
      <w:pPr>
        <w:pStyle w:val="90"/>
        <w:pBdr>
          <w:top w:val="none" w:color="auto" w:sz="0" w:space="0"/>
          <w:left w:val="none" w:color="auto" w:sz="0" w:space="0"/>
          <w:bottom w:val="none" w:color="auto" w:sz="0" w:space="0"/>
          <w:right w:val="none" w:color="auto" w:sz="0" w:space="0"/>
        </w:pBdr>
        <w:shd w:val="clear" w:color="FFFFFF" w:fill="FFFFFF"/>
        <w:ind w:firstLine="420"/>
        <w:rPr>
          <w:rFonts w:hint="eastAsia" w:ascii="宋体" w:hAnsi="宋体" w:eastAsia="宋体" w:cs="宋体"/>
          <w:lang w:val="en-US" w:eastAsia="zh-CN"/>
        </w:rPr>
      </w:pPr>
      <w:r>
        <w:rPr>
          <w:rFonts w:hint="eastAsia" w:ascii="宋体" w:hAnsi="宋体" w:eastAsia="宋体" w:cs="宋体"/>
          <w:lang w:val="en-US" w:eastAsia="zh-CN"/>
        </w:rPr>
        <w:t>国家市场监督管理总局，中国国家标准化管理委员会. 信息安全技术　个人信息安全规范：GB/T 35273—2020[S]. 北京：中国标准出版社，2020.</w:t>
      </w:r>
    </w:p>
    <w:p w14:paraId="17D10B17">
      <w:pPr>
        <w:pStyle w:val="90"/>
        <w:pBdr>
          <w:top w:val="none" w:color="auto" w:sz="0" w:space="0"/>
          <w:left w:val="none" w:color="auto" w:sz="0" w:space="0"/>
          <w:bottom w:val="none" w:color="auto" w:sz="0" w:space="0"/>
          <w:right w:val="none" w:color="auto" w:sz="0" w:space="0"/>
        </w:pBdr>
        <w:shd w:val="clear" w:color="FFFFFF" w:fill="FFFFFF"/>
        <w:ind w:firstLine="420"/>
        <w:rPr>
          <w:rFonts w:hint="eastAsia" w:ascii="宋体" w:hAnsi="宋体" w:eastAsia="宋体" w:cs="宋体"/>
          <w:lang w:val="en-US" w:eastAsia="zh-CN"/>
        </w:rPr>
      </w:pPr>
      <w:r>
        <w:rPr>
          <w:rFonts w:hint="eastAsia" w:ascii="宋体" w:hAnsi="宋体" w:eastAsia="宋体" w:cs="宋体"/>
          <w:lang w:val="en-US" w:eastAsia="zh-CN"/>
        </w:rPr>
        <w:t>国家市场监督管理总局，中国国家标准化管理委员会. 适用于老年人的家用电器　通用技术要求：GB/T 40443—2021[S]. 北京：中国标准出版社，2021.</w:t>
      </w:r>
    </w:p>
    <w:p w14:paraId="252F34B8">
      <w:pPr>
        <w:pStyle w:val="90"/>
        <w:pBdr>
          <w:top w:val="none" w:color="auto" w:sz="0" w:space="0"/>
          <w:left w:val="none" w:color="auto" w:sz="0" w:space="0"/>
          <w:bottom w:val="none" w:color="auto" w:sz="0" w:space="0"/>
          <w:right w:val="none" w:color="auto" w:sz="0" w:space="0"/>
        </w:pBdr>
        <w:shd w:val="clear" w:color="FFFFFF" w:fill="FFFFFF"/>
        <w:ind w:firstLine="420"/>
        <w:rPr>
          <w:rFonts w:hint="eastAsia" w:ascii="宋体" w:hAnsi="宋体" w:eastAsia="宋体" w:cs="宋体"/>
          <w:lang w:val="en-US" w:eastAsia="zh-CN"/>
        </w:rPr>
      </w:pPr>
      <w:r>
        <w:rPr>
          <w:rFonts w:hint="eastAsia" w:ascii="宋体" w:hAnsi="宋体" w:eastAsia="宋体" w:cs="宋体"/>
          <w:lang w:val="en-US" w:eastAsia="zh-CN"/>
        </w:rPr>
        <w:t>汕头市澄海区玩具协会. 适老玩具：T/CHTOYS 005—2025[S]. 2025.</w:t>
      </w:r>
    </w:p>
    <w:p w14:paraId="0B93876A">
      <w:pPr>
        <w:pStyle w:val="90"/>
        <w:pBdr>
          <w:top w:val="none" w:color="auto" w:sz="0" w:space="0"/>
          <w:left w:val="none" w:color="auto" w:sz="0" w:space="0"/>
          <w:bottom w:val="none" w:color="auto" w:sz="0" w:space="0"/>
          <w:right w:val="none" w:color="auto" w:sz="0" w:space="0"/>
        </w:pBdr>
        <w:shd w:val="clear" w:color="FFFFFF" w:fill="FFFFFF"/>
        <w:ind w:firstLine="420"/>
        <w:rPr>
          <w:rFonts w:hint="eastAsia" w:ascii="宋体" w:hAnsi="宋体" w:eastAsia="宋体" w:cs="宋体"/>
          <w:lang w:val="en-US" w:eastAsia="zh-CN"/>
        </w:rPr>
      </w:pPr>
      <w:r>
        <w:rPr>
          <w:rFonts w:hint="eastAsia" w:ascii="宋体" w:hAnsi="宋体" w:eastAsia="宋体" w:cs="宋体"/>
          <w:lang w:val="en-US" w:eastAsia="zh-CN"/>
        </w:rPr>
        <w:t>中华人民共和国国家卫生健康委员会. 老年人认知障碍预防干预技术标准：WS/T 875—2026[S]. 北京：中国标准出版社，2026.</w:t>
      </w:r>
    </w:p>
    <w:p w14:paraId="10EB01DB">
      <w:pPr>
        <w:pStyle w:val="90"/>
        <w:pBdr>
          <w:top w:val="none" w:color="auto" w:sz="0" w:space="0"/>
          <w:left w:val="none" w:color="auto" w:sz="0" w:space="0"/>
          <w:bottom w:val="none" w:color="auto" w:sz="0" w:space="0"/>
          <w:right w:val="none" w:color="auto" w:sz="0" w:space="0"/>
        </w:pBdr>
        <w:shd w:val="clear" w:color="FFFFFF" w:fill="FFFFFF"/>
        <w:ind w:firstLine="420"/>
        <w:rPr>
          <w:rFonts w:hint="eastAsia" w:ascii="宋体" w:hAnsi="宋体" w:eastAsia="宋体" w:cs="宋体"/>
          <w:lang w:val="en-US" w:eastAsia="zh-CN"/>
        </w:rPr>
      </w:pPr>
      <w:r>
        <w:rPr>
          <w:rFonts w:hint="eastAsia" w:ascii="宋体" w:hAnsi="宋体" w:eastAsia="宋体" w:cs="宋体"/>
          <w:lang w:val="en-US" w:eastAsia="zh-CN"/>
        </w:rPr>
        <w:t xml:space="preserve"> FOLSTEIN M F, FOLSTEIN S E, McHUGH P R. "Mini-mental state": a practical method for grading the cognitive state of patients for the clinician[J]. Journal of Psychiatric Research, 1975, 12(3): 189-198.</w:t>
      </w:r>
    </w:p>
    <w:p w14:paraId="7F57BC1B">
      <w:pPr>
        <w:pStyle w:val="90"/>
        <w:pBdr>
          <w:top w:val="none" w:color="auto" w:sz="0" w:space="0"/>
          <w:left w:val="none" w:color="auto" w:sz="0" w:space="0"/>
          <w:bottom w:val="none" w:color="auto" w:sz="0" w:space="0"/>
          <w:right w:val="none" w:color="auto" w:sz="0" w:space="0"/>
        </w:pBdr>
        <w:shd w:val="clear" w:color="FFFFFF" w:fill="FFFFFF"/>
        <w:ind w:firstLine="420"/>
        <w:rPr>
          <w:rFonts w:hint="eastAsia" w:ascii="宋体" w:hAnsi="宋体" w:eastAsia="宋体" w:cs="宋体"/>
          <w:lang w:val="en-US" w:eastAsia="zh-CN"/>
        </w:rPr>
      </w:pPr>
      <w:r>
        <w:rPr>
          <w:rFonts w:hint="eastAsia" w:ascii="宋体" w:hAnsi="宋体" w:eastAsia="宋体" w:cs="宋体"/>
          <w:lang w:val="en-US" w:eastAsia="zh-CN"/>
        </w:rPr>
        <w:t>NASREDINE Z S, PHILLIPS N A, BÉDIRIAN V, et al. The Montreal Cognitive Assessment (MoCA): a brief screening tool for mild cognitive impairment[J]. Journal of the American Geriatrics Society, 2005, 53(4): 695-699.</w:t>
      </w:r>
    </w:p>
    <w:p w14:paraId="25CF0F44">
      <w:pPr>
        <w:pStyle w:val="90"/>
        <w:pBdr>
          <w:top w:val="none" w:color="auto" w:sz="0" w:space="0"/>
          <w:left w:val="none" w:color="auto" w:sz="0" w:space="0"/>
          <w:bottom w:val="none" w:color="auto" w:sz="0" w:space="0"/>
          <w:right w:val="none" w:color="auto" w:sz="0" w:space="0"/>
        </w:pBdr>
        <w:shd w:val="clear" w:color="FFFFFF" w:fill="FFFFFF"/>
        <w:ind w:firstLine="420"/>
        <w:rPr>
          <w:rFonts w:hint="eastAsia" w:ascii="宋体" w:hAnsi="宋体" w:eastAsia="宋体" w:cs="宋体"/>
          <w:lang w:val="en-US" w:eastAsia="zh-CN"/>
        </w:rPr>
      </w:pPr>
      <w:r>
        <w:rPr>
          <w:rFonts w:hint="eastAsia" w:ascii="宋体" w:hAnsi="宋体" w:eastAsia="宋体" w:cs="宋体"/>
          <w:lang w:val="en-US" w:eastAsia="zh-CN"/>
        </w:rPr>
        <w:t>中国老年医学学会. 中国认知障碍人群照料管理专家共识[J]. 中华老年医学杂志，2020，39(11)：1241-1250.</w:t>
      </w:r>
    </w:p>
    <w:p w14:paraId="333BB7D5">
      <w:pPr>
        <w:pStyle w:val="90"/>
        <w:pBdr>
          <w:top w:val="none" w:color="auto" w:sz="0" w:space="0"/>
          <w:left w:val="none" w:color="auto" w:sz="0" w:space="0"/>
          <w:bottom w:val="none" w:color="auto" w:sz="0" w:space="0"/>
          <w:right w:val="none" w:color="auto" w:sz="0" w:space="0"/>
        </w:pBdr>
        <w:shd w:val="clear" w:color="FFFFFF" w:fill="FFFFFF"/>
        <w:ind w:firstLine="420"/>
        <w:rPr>
          <w:rFonts w:hint="eastAsia" w:ascii="宋体" w:hAnsi="宋体" w:eastAsia="宋体" w:cs="宋体"/>
          <w:lang w:val="en-US" w:eastAsia="zh-CN"/>
        </w:rPr>
      </w:pPr>
      <w:r>
        <w:rPr>
          <w:rFonts w:hint="eastAsia" w:ascii="宋体" w:hAnsi="宋体" w:eastAsia="宋体" w:cs="宋体"/>
          <w:lang w:val="en-US" w:eastAsia="zh-CN"/>
        </w:rPr>
        <w:t>中华医学会神经病学分会痴呆与认知障碍学组. 非药物干预在阿尔茨海默病中的应用专家共识[J]. 中华神经科杂志，2024，57(3)：201-210.</w:t>
      </w:r>
    </w:p>
    <w:p w14:paraId="0A03C380">
      <w:pPr>
        <w:pStyle w:val="90"/>
        <w:pBdr>
          <w:top w:val="none" w:color="auto" w:sz="0" w:space="0"/>
          <w:left w:val="none" w:color="auto" w:sz="0" w:space="0"/>
          <w:bottom w:val="none" w:color="auto" w:sz="0" w:space="0"/>
          <w:right w:val="none" w:color="auto" w:sz="0" w:space="0"/>
        </w:pBdr>
        <w:shd w:val="clear" w:color="FFFFFF" w:fill="FFFFFF"/>
        <w:ind w:firstLine="420"/>
        <w:rPr>
          <w:rFonts w:hint="eastAsia" w:ascii="宋体" w:hAnsi="宋体" w:eastAsia="宋体" w:cs="宋体"/>
          <w:lang w:val="en-US" w:eastAsia="zh-CN"/>
        </w:rPr>
      </w:pPr>
      <w:r>
        <w:rPr>
          <w:rFonts w:hint="eastAsia" w:ascii="宋体" w:hAnsi="宋体" w:eastAsia="宋体" w:cs="宋体"/>
          <w:lang w:val="en-US" w:eastAsia="zh-CN"/>
        </w:rPr>
        <w:t>国家市场监督管理总局，中国国家标准化管理委员会. 消费品生命周期安全　第2部分：安全相关的使用阶段：GB/T 29289.2—2025[S]. 北京：中国标准出版社，2025.</w:t>
      </w:r>
    </w:p>
    <w:p w14:paraId="52135DC3">
      <w:pPr>
        <w:pStyle w:val="90"/>
        <w:pBdr>
          <w:top w:val="none" w:color="auto" w:sz="0" w:space="0"/>
          <w:left w:val="none" w:color="auto" w:sz="0" w:space="0"/>
          <w:bottom w:val="none" w:color="auto" w:sz="0" w:space="0"/>
          <w:right w:val="none" w:color="auto" w:sz="0" w:space="0"/>
        </w:pBdr>
        <w:shd w:val="clear" w:color="FFFFFF" w:fill="FFFFFF"/>
        <w:ind w:firstLine="420"/>
        <w:rPr>
          <w:rFonts w:hint="eastAsia" w:ascii="宋体" w:hAnsi="宋体" w:eastAsia="宋体" w:cs="宋体"/>
          <w:lang w:val="en-US" w:eastAsia="zh-CN"/>
        </w:rPr>
      </w:pPr>
      <w:r>
        <w:rPr>
          <w:rFonts w:hint="eastAsia" w:ascii="宋体" w:hAnsi="宋体" w:eastAsia="宋体" w:cs="宋体"/>
          <w:lang w:val="en-US" w:eastAsia="zh-CN"/>
        </w:rPr>
        <w:t>国家市场监督管理总局，中国国家标准化管理委员会. 用于老年人生活辅助的智能家电系统　通用安全要求：GB/T 41529—2022[S]. 北京：中国标准出版社，2022.</w:t>
      </w:r>
    </w:p>
    <w:p w14:paraId="2444CAEE">
      <w:pPr>
        <w:pStyle w:val="90"/>
        <w:pBdr>
          <w:top w:val="none" w:color="auto" w:sz="0" w:space="0"/>
          <w:left w:val="none" w:color="auto" w:sz="0" w:space="0"/>
          <w:bottom w:val="none" w:color="auto" w:sz="0" w:space="0"/>
          <w:right w:val="none" w:color="auto" w:sz="0" w:space="0"/>
        </w:pBdr>
        <w:shd w:val="clear" w:color="FFFFFF" w:fill="FFFFFF"/>
        <w:ind w:firstLine="420"/>
        <w:rPr>
          <w:rFonts w:hint="eastAsia" w:ascii="宋体" w:hAnsi="宋体" w:eastAsia="宋体" w:cs="宋体"/>
          <w:lang w:val="en-US" w:eastAsia="zh-CN"/>
        </w:rPr>
      </w:pPr>
      <w:r>
        <w:rPr>
          <w:rFonts w:hint="eastAsia" w:ascii="宋体" w:hAnsi="宋体" w:eastAsia="宋体" w:cs="宋体"/>
          <w:lang w:val="en-US" w:eastAsia="zh-CN"/>
        </w:rPr>
        <w:t>国家市场监督管理总局，中国国家标准化管理委员会. 消费品适老无障碍设计：GB/T 45122—2024[S].北京：中国标准出版社，2024.</w:t>
      </w:r>
    </w:p>
    <w:p w14:paraId="3259BBB0">
      <w:pPr>
        <w:pStyle w:val="90"/>
        <w:pBdr>
          <w:top w:val="none" w:color="auto" w:sz="0" w:space="0"/>
          <w:left w:val="none" w:color="auto" w:sz="0" w:space="0"/>
          <w:bottom w:val="none" w:color="auto" w:sz="0" w:space="0"/>
          <w:right w:val="none" w:color="auto" w:sz="0" w:space="0"/>
        </w:pBdr>
        <w:shd w:val="clear" w:color="FFFFFF" w:fill="FFFFFF"/>
        <w:ind w:firstLine="420"/>
        <w:rPr>
          <w:rFonts w:hint="eastAsia" w:ascii="宋体" w:hAnsi="宋体" w:eastAsia="宋体" w:cs="宋体"/>
          <w:lang w:val="en-US" w:eastAsia="zh-CN"/>
        </w:rPr>
      </w:pPr>
      <w:r>
        <w:rPr>
          <w:rFonts w:hint="eastAsia" w:ascii="宋体" w:hAnsi="宋体" w:eastAsia="宋体" w:cs="宋体"/>
          <w:lang w:val="en-US" w:eastAsia="zh-CN"/>
        </w:rPr>
        <w:t>世界卫生组织.国际疾病分类第十一次修订本（ICD-11）[Z].日内瓦：世界卫生组织，2019.</w:t>
      </w:r>
    </w:p>
    <w:p w14:paraId="1583F2FB">
      <w:pPr>
        <w:pStyle w:val="90"/>
        <w:pBdr>
          <w:top w:val="none" w:color="auto" w:sz="0" w:space="0"/>
          <w:left w:val="none" w:color="auto" w:sz="0" w:space="0"/>
          <w:bottom w:val="none" w:color="auto" w:sz="0" w:space="0"/>
          <w:right w:val="none" w:color="auto" w:sz="0" w:space="0"/>
        </w:pBdr>
        <w:shd w:val="clear" w:color="FFFFFF" w:fill="FFFFFF"/>
        <w:ind w:firstLine="420"/>
        <w:rPr>
          <w:rFonts w:hint="eastAsia" w:ascii="宋体" w:hAnsi="宋体" w:eastAsia="宋体" w:cs="宋体"/>
          <w:lang w:val="en-US" w:eastAsia="zh-CN"/>
        </w:rPr>
      </w:pPr>
      <w:r>
        <w:rPr>
          <w:rFonts w:hint="eastAsia" w:ascii="宋体" w:hAnsi="宋体" w:eastAsia="宋体" w:cs="宋体"/>
          <w:lang w:val="en-US" w:eastAsia="zh-CN"/>
        </w:rPr>
        <w:t xml:space="preserve">田金洲, 解恒革, 王鲁宁, 等. 中国阿尔茨海默病痴呆诊疗指南（2020年版）[J]. 中华老年医学杂志, 2021, 40(3): 269-283. </w:t>
      </w:r>
    </w:p>
    <w:p w14:paraId="0CDF4C14">
      <w:pPr>
        <w:pStyle w:val="134"/>
        <w:pBdr>
          <w:top w:val="none" w:color="auto" w:sz="0" w:space="0"/>
          <w:left w:val="none" w:color="auto" w:sz="0" w:space="0"/>
          <w:bottom w:val="none" w:color="auto" w:sz="0" w:space="0"/>
          <w:right w:val="none" w:color="auto" w:sz="0" w:space="0"/>
        </w:pBdr>
      </w:pPr>
      <w:r>
        <w:t>_________________________________</w:t>
      </w:r>
    </w:p>
    <w:p w14:paraId="6A5DB985">
      <w:pPr>
        <w:pBdr>
          <w:top w:val="none" w:color="auto" w:sz="0" w:space="0"/>
          <w:left w:val="none" w:color="auto" w:sz="0" w:space="0"/>
          <w:bottom w:val="none" w:color="auto" w:sz="0" w:space="0"/>
          <w:right w:val="none" w:color="auto" w:sz="0" w:space="0"/>
        </w:pBdr>
        <w:rPr>
          <w:sz w:val="15"/>
          <w:szCs w:val="15"/>
        </w:rPr>
      </w:pPr>
    </w:p>
    <w:p w14:paraId="6CEAE3FC">
      <w:pPr>
        <w:widowControl/>
        <w:jc w:val="left"/>
        <w:rPr>
          <w:rFonts w:ascii="黑体" w:eastAsia="黑体"/>
          <w:kern w:val="0"/>
          <w:sz w:val="32"/>
          <w:szCs w:val="20"/>
        </w:rPr>
      </w:pPr>
    </w:p>
    <w:sectPr>
      <w:headerReference r:id="rId11" w:type="default"/>
      <w:footerReference r:id="rId12" w:type="default"/>
      <w:footerReference r:id="rId13" w:type="even"/>
      <w:pgSz w:w="11906" w:h="16838"/>
      <w:pgMar w:top="567" w:right="1416" w:bottom="1134" w:left="1418" w:header="1418" w:footer="1134" w:gutter="0"/>
      <w:pgNumType w:fmt="decimal"/>
      <w:cols w:space="425" w:num="1"/>
      <w:formProt w:val="0"/>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ongti SC Blac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C02DB">
    <w:pPr>
      <w:pStyle w:val="87"/>
      <w:jc w:val="right"/>
    </w:pPr>
    <w:r>
      <w:fldChar w:fldCharType="begin"/>
    </w:r>
    <w:r>
      <w:instrText xml:space="preserve"> PAGE  \* MERGEFORMAT </w:instrText>
    </w:r>
    <w:r>
      <w:fldChar w:fldCharType="separate"/>
    </w:r>
    <w: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5F9AA">
    <w:pPr>
      <w:pStyle w:val="71"/>
    </w:pPr>
    <w:r>
      <w:rPr>
        <w:sz w:val="18"/>
      </w:rP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001AD9">
                          <w:pPr>
                            <w:pStyle w:val="71"/>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0001AD9">
                    <w:pPr>
                      <w:pStyle w:val="71"/>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DBAB5">
    <w:pPr>
      <w:pStyle w:val="87"/>
      <w:jc w:val="right"/>
    </w:pPr>
    <w:r>
      <w:fldChar w:fldCharType="begin"/>
    </w:r>
    <w:r>
      <w:instrText xml:space="preserve"> PAGE  \* MERGEFORMAT </w:instrText>
    </w:r>
    <w:r>
      <w:fldChar w:fldCharType="separate"/>
    </w:r>
    <w:r>
      <w:t>4</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5DB47">
    <w:pPr>
      <w:pStyle w:val="18"/>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E6E9CC">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49E6E9CC">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592AB">
    <w:pPr>
      <w:pStyle w:val="87"/>
      <w:ind w:left="0" w:leftChars="0" w:firstLine="0" w:firstLineChars="0"/>
      <w:rPr>
        <w:rFonts w:hint="eastAsia" w:eastAsia="宋体"/>
        <w:lang w:val="en-US" w:eastAsia="zh-CN"/>
      </w:rPr>
    </w:pPr>
    <w:r>
      <w:rPr>
        <w:sz w:val="18"/>
      </w:rPr>
      <mc:AlternateContent>
        <mc:Choice Requires="wps">
          <w:drawing>
            <wp:anchor distT="0" distB="0" distL="114300" distR="114300" simplePos="0" relativeHeight="251670528" behindDoc="0" locked="0" layoutInCell="1" allowOverlap="1">
              <wp:simplePos x="0" y="0"/>
              <wp:positionH relativeFrom="margin">
                <wp:posOffset>0</wp:posOffset>
              </wp:positionH>
              <wp:positionV relativeFrom="paragraph">
                <wp:posOffset>0</wp:posOffset>
              </wp:positionV>
              <wp:extent cx="259715" cy="137795"/>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259715" cy="137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0DDCDF">
                          <w:pPr>
                            <w:pStyle w:val="18"/>
                            <w:jc w:val="right"/>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0.85pt;width:20.45pt;mso-position-horizontal-relative:margin;z-index:251670528;mso-width-relative:page;mso-height-relative:page;" filled="f" stroked="f" coordsize="21600,21600" o:gfxdata="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zkT5p0wAAAAMBAAAPAAAAAAAAAAEAIAAAACIAAABkcnMvZG93bnJldi54&#10;bWxQSwECFAAUAAAACACHTuJA5FriTTgCAABjBAAADgAAAAAAAAABACAAAAAiAQAAZHJzL2Uyb0Rv&#10;Yy54bWxQSwUGAAAAAAYABgBZAQAAzAUAAAAA&#10;">
              <v:fill on="f" focussize="0,0"/>
              <v:stroke on="f" weight="0.5pt"/>
              <v:imagedata o:title=""/>
              <o:lock v:ext="edit" aspectratio="f"/>
              <v:textbox inset="0mm,0mm,0mm,0mm">
                <w:txbxContent>
                  <w:p w14:paraId="000DDCDF">
                    <w:pPr>
                      <w:pStyle w:val="18"/>
                      <w:jc w:val="right"/>
                    </w:pPr>
                    <w:r>
                      <w:fldChar w:fldCharType="begin"/>
                    </w:r>
                    <w:r>
                      <w:instrText xml:space="preserve"> PAGE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67456" behindDoc="0" locked="0" layoutInCell="1" allowOverlap="1">
              <wp:simplePos x="0" y="0"/>
              <wp:positionH relativeFrom="margin">
                <wp:align>inside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D13131">
                          <w:pPr>
                            <w:pStyle w:val="18"/>
                            <w:jc w:val="center"/>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1CD13131">
                    <w:pPr>
                      <w:pStyle w:val="18"/>
                      <w:jc w:val="center"/>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66432" behindDoc="0" locked="0" layoutInCell="1" allowOverlap="1">
              <wp:simplePos x="0" y="0"/>
              <wp:positionH relativeFrom="margin">
                <wp:align>inside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71393C">
                          <w:pPr>
                            <w:pStyle w:val="87"/>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4F71393C">
                    <w:pPr>
                      <w:pStyle w:val="87"/>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772FE">
    <w:pPr>
      <w:pStyle w:val="18"/>
    </w:pPr>
    <w:r>
      <w:rPr>
        <w:sz w:val="18"/>
      </w:rP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398893">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24398893">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4E43B">
    <w:pPr>
      <w:pStyle w:val="87"/>
      <w:ind w:left="0" w:leftChars="0" w:firstLine="0" w:firstLineChars="0"/>
      <w:rPr>
        <w:rFonts w:hint="eastAsia" w:eastAsia="宋体"/>
        <w:lang w:val="en-US" w:eastAsia="zh-CN"/>
      </w:rPr>
    </w:pPr>
    <w:r>
      <w:rPr>
        <w:sz w:val="18"/>
      </w:rPr>
      <mc:AlternateContent>
        <mc:Choice Requires="wps">
          <w:drawing>
            <wp:anchor distT="0" distB="0" distL="114300" distR="114300" simplePos="0" relativeHeight="251672576" behindDoc="0" locked="0" layoutInCell="1" allowOverlap="1">
              <wp:simplePos x="0" y="0"/>
              <wp:positionH relativeFrom="margin">
                <wp:posOffset>0</wp:posOffset>
              </wp:positionH>
              <wp:positionV relativeFrom="paragraph">
                <wp:posOffset>0</wp:posOffset>
              </wp:positionV>
              <wp:extent cx="259715" cy="137795"/>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259715" cy="137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E2C434">
                          <w:pPr>
                            <w:pStyle w:val="18"/>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0.85pt;width:20.45pt;mso-position-horizontal-relative:margin;z-index:251672576;mso-width-relative:page;mso-height-relative:page;" filled="f" stroked="f" coordsize="21600,21600" o:gfxdata="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PORPmnTAAAAAwEAAA8AAAAAAAAAAQAgAAAAIgAAAGRycy9kb3ducmV2&#10;LnhtbFBLAQIUABQAAAAIAIdO4kC/Fj3ZOgIAAGMEAAAOAAAAAAAAAAEAIAAAACIBAABkcnMvZTJv&#10;RG9jLnhtbFBLBQYAAAAABgAGAFkBAADOBQAAAAA=&#10;">
              <v:fill on="f" focussize="0,0"/>
              <v:stroke on="f" weight="0.5pt"/>
              <v:imagedata o:title=""/>
              <o:lock v:ext="edit" aspectratio="f"/>
              <v:textbox inset="0mm,0mm,0mm,0mm">
                <w:txbxContent>
                  <w:p w14:paraId="40E2C434">
                    <w:pPr>
                      <w:pStyle w:val="18"/>
                    </w:pPr>
                    <w:r>
                      <w:fldChar w:fldCharType="begin"/>
                    </w:r>
                    <w:r>
                      <w:instrText xml:space="preserve"> PAGE  \* MERGEFORMAT </w:instrText>
                    </w:r>
                    <w:r>
                      <w:fldChar w:fldCharType="separate"/>
                    </w:r>
                    <w:r>
                      <w:t>6</w:t>
                    </w:r>
                    <w:r>
                      <w:fldChar w:fldCharType="end"/>
                    </w:r>
                  </w:p>
                </w:txbxContent>
              </v:textbox>
            </v:shape>
          </w:pict>
        </mc:Fallback>
      </mc:AlternateContent>
    </w:r>
    <w:r>
      <w:rPr>
        <w:sz w:val="18"/>
      </w:rPr>
      <mc:AlternateContent>
        <mc:Choice Requires="wps">
          <w:drawing>
            <wp:anchor distT="0" distB="0" distL="114300" distR="114300" simplePos="0" relativeHeight="251666432" behindDoc="0" locked="0" layoutInCell="1" allowOverlap="1">
              <wp:simplePos x="0" y="0"/>
              <wp:positionH relativeFrom="margin">
                <wp:align>inside</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34E677">
                          <w:pPr>
                            <w:pStyle w:val="18"/>
                            <w:jc w:val="center"/>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4C34E677">
                    <w:pPr>
                      <w:pStyle w:val="18"/>
                      <w:jc w:val="center"/>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65408" behindDoc="0" locked="0" layoutInCell="1" allowOverlap="1">
              <wp:simplePos x="0" y="0"/>
              <wp:positionH relativeFrom="margin">
                <wp:align>inside</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4CFC3F">
                          <w:pPr>
                            <w:pStyle w:val="87"/>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224CFC3F">
                    <w:pPr>
                      <w:pStyle w:val="87"/>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AAFB5">
    <w:pPr>
      <w:pStyle w:val="72"/>
      <w:jc w:val="left"/>
      <w:rPr>
        <w:rFonts w:hAnsi="黑体"/>
      </w:rPr>
    </w:pPr>
    <w:r>
      <w:rPr>
        <w:rFonts w:hint="eastAsia" w:hAnsi="黑体"/>
      </w:rPr>
      <w:t>T/BAS XXX-202X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7CDB1">
    <w:pPr>
      <w:pStyle w:val="72"/>
      <w:ind w:firstLine="1050"/>
      <w:rPr>
        <w:rFonts w:hint="eastAsia" w:hAnsi="黑体" w:eastAsia="黑体"/>
        <w:lang w:eastAsia="zh-CN"/>
      </w:rPr>
    </w:pPr>
    <w:r>
      <w:rPr>
        <w:rFonts w:hint="eastAsia" w:hAnsi="黑体"/>
      </w:rPr>
      <w:t>T</w:t>
    </w:r>
    <w:r>
      <w:rPr>
        <w:rFonts w:hAnsi="黑体"/>
      </w:rPr>
      <w:t>/</w:t>
    </w:r>
    <w:r>
      <w:rPr>
        <w:rFonts w:hint="eastAsia" w:hAnsi="黑体"/>
      </w:rPr>
      <w:t>BAS</w:t>
    </w:r>
    <w:r>
      <w:rPr>
        <w:rFonts w:hAnsi="黑体"/>
      </w:rPr>
      <w:t xml:space="preserve"> </w:t>
    </w:r>
    <w:r>
      <w:rPr>
        <w:rFonts w:hint="eastAsia" w:hAnsi="黑体"/>
        <w:lang w:val="en-US" w:eastAsia="zh-CN"/>
      </w:rPr>
      <w:t>XXX</w:t>
    </w:r>
    <w:r>
      <w:rPr>
        <w:rFonts w:hAnsi="黑体"/>
      </w:rPr>
      <w:t>-20</w:t>
    </w:r>
    <w:r>
      <w:rPr>
        <w:rFonts w:hint="eastAsia" w:hAnsi="黑体"/>
      </w:rPr>
      <w:t>2</w:t>
    </w:r>
    <w:r>
      <w:rPr>
        <w:rFonts w:hint="eastAsia" w:hAnsi="黑体"/>
        <w:lang w:val="en-US" w:eastAsia="zh-CN"/>
      </w:rPr>
      <w:t>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AB291">
    <w:pPr>
      <w:pStyle w:val="72"/>
      <w:ind w:firstLine="1050"/>
      <w:rPr>
        <w:rFonts w:hint="eastAsia" w:hAnsi="黑体" w:eastAsia="黑体"/>
        <w:lang w:eastAsia="zh-CN"/>
      </w:rPr>
    </w:pPr>
    <w:r>
      <w:rPr>
        <w:rFonts w:hint="eastAsia" w:hAnsi="黑体"/>
      </w:rPr>
      <w:t>T</w:t>
    </w:r>
    <w:r>
      <w:rPr>
        <w:rFonts w:hAnsi="黑体"/>
      </w:rPr>
      <w:t>/</w:t>
    </w:r>
    <w:r>
      <w:rPr>
        <w:rFonts w:hint="eastAsia" w:hAnsi="黑体"/>
      </w:rPr>
      <w:t>BAS</w:t>
    </w:r>
    <w:r>
      <w:rPr>
        <w:rFonts w:hAnsi="黑体"/>
      </w:rPr>
      <w:t xml:space="preserve"> </w:t>
    </w:r>
    <w:r>
      <w:rPr>
        <w:rFonts w:hint="eastAsia" w:hAnsi="黑体"/>
        <w:lang w:val="en-US" w:eastAsia="zh-CN"/>
      </w:rPr>
      <w:t>XXX</w:t>
    </w:r>
    <w:r>
      <w:rPr>
        <w:rFonts w:hAnsi="黑体"/>
      </w:rPr>
      <w:t>-20</w:t>
    </w:r>
    <w:r>
      <w:rPr>
        <w:rFonts w:hint="eastAsia" w:hAnsi="黑体"/>
      </w:rPr>
      <w:t>2</w:t>
    </w:r>
    <w:r>
      <w:rPr>
        <w:rFonts w:hint="eastAsia" w:hAnsi="黑体"/>
        <w:lang w:val="en-US" w:eastAsia="zh-CN"/>
      </w:rPr>
      <w:t>X</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0AF89">
    <w:pPr>
      <w:pStyle w:val="72"/>
      <w:ind w:firstLine="1050"/>
      <w:rPr>
        <w:rFonts w:hint="eastAsia" w:hAnsi="黑体" w:eastAsia="黑体"/>
        <w:lang w:eastAsia="zh-CN"/>
      </w:rPr>
    </w:pPr>
    <w:r>
      <w:rPr>
        <w:rFonts w:hint="eastAsia" w:hAnsi="黑体"/>
      </w:rPr>
      <w:t>T</w:t>
    </w:r>
    <w:r>
      <w:rPr>
        <w:rFonts w:hAnsi="黑体"/>
      </w:rPr>
      <w:t>/</w:t>
    </w:r>
    <w:r>
      <w:rPr>
        <w:rFonts w:hint="eastAsia" w:hAnsi="黑体"/>
      </w:rPr>
      <w:t>BAS</w:t>
    </w:r>
    <w:r>
      <w:rPr>
        <w:rFonts w:hAnsi="黑体"/>
      </w:rPr>
      <w:t xml:space="preserve"> </w:t>
    </w:r>
    <w:r>
      <w:rPr>
        <w:rFonts w:hint="eastAsia" w:hAnsi="黑体"/>
        <w:lang w:val="en-US" w:eastAsia="zh-CN"/>
      </w:rPr>
      <w:t>XXX</w:t>
    </w:r>
    <w:r>
      <w:rPr>
        <w:rFonts w:hAnsi="黑体"/>
      </w:rPr>
      <w:t>-20</w:t>
    </w:r>
    <w:r>
      <w:rPr>
        <w:rFonts w:hint="eastAsia" w:hAnsi="黑体"/>
      </w:rPr>
      <w:t>2</w:t>
    </w:r>
    <w:r>
      <w:rPr>
        <w:rFonts w:hint="eastAsia" w:hAnsi="黑体"/>
        <w:lang w:val="en-US" w:eastAsia="zh-CN"/>
      </w:rPr>
      <w:t>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952887"/>
    <w:multiLevelType w:val="multilevel"/>
    <w:tmpl w:val="0A952887"/>
    <w:lvl w:ilvl="0" w:tentative="0">
      <w:start w:val="1"/>
      <w:numFmt w:val="decimal"/>
      <w:pStyle w:val="84"/>
      <w:suff w:val="nothing"/>
      <w:lvlText w:val="注%1："/>
      <w:lvlJc w:val="left"/>
      <w:pPr>
        <w:ind w:left="0" w:firstLine="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1">
    <w:nsid w:val="0F805D97"/>
    <w:multiLevelType w:val="multilevel"/>
    <w:tmpl w:val="0F805D97"/>
    <w:lvl w:ilvl="0" w:tentative="0">
      <w:start w:val="1"/>
      <w:numFmt w:val="none"/>
      <w:pStyle w:val="79"/>
      <w:suff w:val="nothing"/>
      <w:lvlText w:val="注%1："/>
      <w:lvlJc w:val="left"/>
      <w:pPr>
        <w:ind w:left="0" w:firstLine="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
    <w:nsid w:val="1FC91163"/>
    <w:multiLevelType w:val="multilevel"/>
    <w:tmpl w:val="1FC91163"/>
    <w:lvl w:ilvl="0" w:tentative="0">
      <w:start w:val="1"/>
      <w:numFmt w:val="decimal"/>
      <w:pStyle w:val="51"/>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0"/>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pStyle w:val="52"/>
      <w:suff w:val="nothing"/>
      <w:lvlText w:val="%1.%2.%3　"/>
      <w:lvlJc w:val="left"/>
      <w:pPr>
        <w:ind w:left="0" w:firstLine="0"/>
      </w:pPr>
      <w:rPr>
        <w:rFonts w:hint="eastAsia" w:ascii="黑体" w:hAnsi="Times New Roman" w:eastAsia="黑体"/>
        <w:b w:val="0"/>
        <w:i w:val="0"/>
        <w:sz w:val="21"/>
      </w:rPr>
    </w:lvl>
    <w:lvl w:ilvl="3" w:tentative="0">
      <w:start w:val="1"/>
      <w:numFmt w:val="decimal"/>
      <w:pStyle w:val="53"/>
      <w:suff w:val="nothing"/>
      <w:lvlText w:val="%1.%2.%3.%4　"/>
      <w:lvlJc w:val="left"/>
      <w:pPr>
        <w:ind w:left="0" w:firstLine="0"/>
      </w:pPr>
      <w:rPr>
        <w:rFonts w:hint="eastAsia" w:ascii="黑体" w:hAnsi="Times New Roman" w:eastAsia="黑体"/>
        <w:b w:val="0"/>
        <w:i w:val="0"/>
        <w:sz w:val="21"/>
      </w:rPr>
    </w:lvl>
    <w:lvl w:ilvl="4" w:tentative="0">
      <w:start w:val="1"/>
      <w:numFmt w:val="decimal"/>
      <w:pStyle w:val="54"/>
      <w:suff w:val="nothing"/>
      <w:lvlText w:val="%1.%2.%3.%4.%5　"/>
      <w:lvlJc w:val="left"/>
      <w:pPr>
        <w:ind w:left="0" w:firstLine="0"/>
      </w:pPr>
      <w:rPr>
        <w:rFonts w:hint="eastAsia" w:ascii="黑体" w:hAnsi="Times New Roman" w:eastAsia="黑体"/>
        <w:b w:val="0"/>
        <w:i w:val="0"/>
        <w:sz w:val="21"/>
      </w:rPr>
    </w:lvl>
    <w:lvl w:ilvl="5" w:tentative="0">
      <w:start w:val="1"/>
      <w:numFmt w:val="decimal"/>
      <w:pStyle w:val="55"/>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24B435DB"/>
    <w:multiLevelType w:val="multilevel"/>
    <w:tmpl w:val="24B435DB"/>
    <w:lvl w:ilvl="0" w:tentative="0">
      <w:start w:val="1"/>
      <w:numFmt w:val="lowerLetter"/>
      <w:pStyle w:val="127"/>
      <w:suff w:val="nothing"/>
      <w:lvlText w:val="%1   "/>
      <w:lvlJc w:val="left"/>
      <w:pPr>
        <w:ind w:left="544" w:hanging="181"/>
      </w:pPr>
      <w:rPr>
        <w:rFonts w:hint="eastAsia" w:ascii="宋体" w:hAnsi="宋体" w:eastAsia="宋体"/>
        <w:b w:val="0"/>
        <w:i w:val="0"/>
        <w:sz w:val="18"/>
        <w:vertAlign w:val="superscript"/>
      </w:rPr>
    </w:lvl>
    <w:lvl w:ilvl="1" w:tentative="0">
      <w:start w:val="1"/>
      <w:numFmt w:val="lowerLetter"/>
      <w:lvlText w:val="%2"/>
      <w:lvlJc w:val="left"/>
      <w:pPr>
        <w:tabs>
          <w:tab w:val="left" w:pos="57"/>
        </w:tabs>
        <w:ind w:left="363" w:hanging="363"/>
      </w:pPr>
      <w:rPr>
        <w:rFonts w:hint="eastAsia"/>
      </w:rPr>
    </w:lvl>
    <w:lvl w:ilvl="2" w:tentative="0">
      <w:start w:val="1"/>
      <w:numFmt w:val="lowerRoman"/>
      <w:lvlText w:val="%3."/>
      <w:lvlJc w:val="right"/>
      <w:pPr>
        <w:tabs>
          <w:tab w:val="left" w:pos="57"/>
        </w:tabs>
        <w:ind w:left="363" w:hanging="363"/>
      </w:pPr>
      <w:rPr>
        <w:rFonts w:hint="eastAsia"/>
      </w:rPr>
    </w:lvl>
    <w:lvl w:ilvl="3" w:tentative="0">
      <w:start w:val="1"/>
      <w:numFmt w:val="decimal"/>
      <w:lvlText w:val="%4."/>
      <w:lvlJc w:val="left"/>
      <w:pPr>
        <w:tabs>
          <w:tab w:val="left" w:pos="57"/>
        </w:tabs>
        <w:ind w:left="363" w:hanging="363"/>
      </w:pPr>
      <w:rPr>
        <w:rFonts w:hint="eastAsia"/>
      </w:rPr>
    </w:lvl>
    <w:lvl w:ilvl="4" w:tentative="0">
      <w:start w:val="1"/>
      <w:numFmt w:val="lowerLetter"/>
      <w:lvlText w:val="%5)"/>
      <w:lvlJc w:val="left"/>
      <w:pPr>
        <w:tabs>
          <w:tab w:val="left" w:pos="57"/>
        </w:tabs>
        <w:ind w:left="363" w:hanging="363"/>
      </w:pPr>
      <w:rPr>
        <w:rFonts w:hint="eastAsia"/>
      </w:rPr>
    </w:lvl>
    <w:lvl w:ilvl="5" w:tentative="0">
      <w:start w:val="1"/>
      <w:numFmt w:val="lowerRoman"/>
      <w:lvlText w:val="%6."/>
      <w:lvlJc w:val="right"/>
      <w:pPr>
        <w:tabs>
          <w:tab w:val="left" w:pos="57"/>
        </w:tabs>
        <w:ind w:left="363" w:hanging="363"/>
      </w:pPr>
      <w:rPr>
        <w:rFonts w:hint="eastAsia"/>
      </w:rPr>
    </w:lvl>
    <w:lvl w:ilvl="6" w:tentative="0">
      <w:start w:val="1"/>
      <w:numFmt w:val="decimal"/>
      <w:lvlText w:val="%7."/>
      <w:lvlJc w:val="left"/>
      <w:pPr>
        <w:tabs>
          <w:tab w:val="left" w:pos="57"/>
        </w:tabs>
        <w:ind w:left="363" w:hanging="363"/>
      </w:pPr>
      <w:rPr>
        <w:rFonts w:hint="eastAsia"/>
      </w:rPr>
    </w:lvl>
    <w:lvl w:ilvl="7" w:tentative="0">
      <w:start w:val="1"/>
      <w:numFmt w:val="lowerLetter"/>
      <w:lvlText w:val="%8)"/>
      <w:lvlJc w:val="left"/>
      <w:pPr>
        <w:tabs>
          <w:tab w:val="left" w:pos="57"/>
        </w:tabs>
        <w:ind w:left="363" w:hanging="363"/>
      </w:pPr>
      <w:rPr>
        <w:rFonts w:hint="eastAsia"/>
      </w:rPr>
    </w:lvl>
    <w:lvl w:ilvl="8" w:tentative="0">
      <w:start w:val="1"/>
      <w:numFmt w:val="lowerRoman"/>
      <w:lvlText w:val="%9."/>
      <w:lvlJc w:val="right"/>
      <w:pPr>
        <w:tabs>
          <w:tab w:val="left" w:pos="57"/>
        </w:tabs>
        <w:ind w:left="363" w:hanging="363"/>
      </w:pPr>
      <w:rPr>
        <w:rFonts w:hint="eastAsia"/>
      </w:rPr>
    </w:lvl>
  </w:abstractNum>
  <w:abstractNum w:abstractNumId="4">
    <w:nsid w:val="29707437"/>
    <w:multiLevelType w:val="multilevel"/>
    <w:tmpl w:val="29707437"/>
    <w:lvl w:ilvl="0" w:tentative="0">
      <w:start w:val="1"/>
      <w:numFmt w:val="none"/>
      <w:pStyle w:val="83"/>
      <w:suff w:val="nothing"/>
      <w:lvlText w:val="%1注："/>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2A8F7113"/>
    <w:multiLevelType w:val="multilevel"/>
    <w:tmpl w:val="2A8F7113"/>
    <w:lvl w:ilvl="0" w:tentative="0">
      <w:start w:val="1"/>
      <w:numFmt w:val="upperLetter"/>
      <w:pStyle w:val="109"/>
      <w:suff w:val="space"/>
      <w:lvlText w:val="%1"/>
      <w:lvlJc w:val="left"/>
      <w:pPr>
        <w:ind w:left="623" w:hanging="425"/>
      </w:pPr>
      <w:rPr>
        <w:rFonts w:hint="eastAsia"/>
      </w:rPr>
    </w:lvl>
    <w:lvl w:ilvl="1" w:tentative="0">
      <w:start w:val="1"/>
      <w:numFmt w:val="decimal"/>
      <w:pStyle w:val="110"/>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6">
    <w:nsid w:val="2C5917C3"/>
    <w:multiLevelType w:val="multilevel"/>
    <w:tmpl w:val="2C5917C3"/>
    <w:lvl w:ilvl="0" w:tentative="0">
      <w:start w:val="1"/>
      <w:numFmt w:val="none"/>
      <w:pStyle w:val="74"/>
      <w:suff w:val="nothing"/>
      <w:lvlText w:val="%1——"/>
      <w:lvlJc w:val="left"/>
      <w:pPr>
        <w:ind w:left="833" w:hanging="408"/>
      </w:pPr>
      <w:rPr>
        <w:rFonts w:hint="eastAsia"/>
      </w:rPr>
    </w:lvl>
    <w:lvl w:ilvl="1" w:tentative="0">
      <w:start w:val="1"/>
      <w:numFmt w:val="bullet"/>
      <w:pStyle w:val="75"/>
      <w:lvlText w:val=""/>
      <w:lvlJc w:val="left"/>
      <w:pPr>
        <w:tabs>
          <w:tab w:val="left" w:pos="760"/>
        </w:tabs>
        <w:ind w:left="1264" w:hanging="413"/>
      </w:pPr>
      <w:rPr>
        <w:rFonts w:hint="default" w:ascii="Symbol" w:hAnsi="Symbol"/>
        <w:color w:val="auto"/>
      </w:rPr>
    </w:lvl>
    <w:lvl w:ilvl="2" w:tentative="0">
      <w:start w:val="1"/>
      <w:numFmt w:val="bullet"/>
      <w:pStyle w:val="81"/>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7">
    <w:nsid w:val="3D733618"/>
    <w:multiLevelType w:val="multilevel"/>
    <w:tmpl w:val="3D733618"/>
    <w:lvl w:ilvl="0" w:tentative="0">
      <w:start w:val="1"/>
      <w:numFmt w:val="decimal"/>
      <w:pStyle w:val="25"/>
      <w:lvlText w:val="%1)"/>
      <w:lvlJc w:val="left"/>
      <w:pPr>
        <w:tabs>
          <w:tab w:val="left" w:pos="0"/>
        </w:tabs>
        <w:ind w:left="720" w:hanging="357"/>
      </w:pPr>
      <w:rPr>
        <w:rFonts w:hint="eastAsia"/>
      </w:rPr>
    </w:lvl>
    <w:lvl w:ilvl="1" w:tentative="0">
      <w:start w:val="1"/>
      <w:numFmt w:val="lowerLetter"/>
      <w:lvlText w:val="%2)"/>
      <w:lvlJc w:val="left"/>
      <w:pPr>
        <w:tabs>
          <w:tab w:val="left" w:pos="504"/>
        </w:tabs>
        <w:ind w:left="544" w:hanging="544"/>
      </w:pPr>
      <w:rPr>
        <w:rFonts w:hint="eastAsia"/>
      </w:rPr>
    </w:lvl>
    <w:lvl w:ilvl="2" w:tentative="0">
      <w:start w:val="1"/>
      <w:numFmt w:val="lowerRoman"/>
      <w:lvlText w:val="%3."/>
      <w:lvlJc w:val="right"/>
      <w:pPr>
        <w:tabs>
          <w:tab w:val="left" w:pos="532"/>
        </w:tabs>
        <w:ind w:left="544" w:hanging="544"/>
      </w:pPr>
      <w:rPr>
        <w:rFonts w:hint="eastAsia"/>
      </w:rPr>
    </w:lvl>
    <w:lvl w:ilvl="3" w:tentative="0">
      <w:start w:val="1"/>
      <w:numFmt w:val="decimal"/>
      <w:lvlText w:val="%4."/>
      <w:lvlJc w:val="left"/>
      <w:pPr>
        <w:tabs>
          <w:tab w:val="left" w:pos="560"/>
        </w:tabs>
        <w:ind w:left="544" w:hanging="544"/>
      </w:pPr>
      <w:rPr>
        <w:rFonts w:hint="eastAsia"/>
      </w:rPr>
    </w:lvl>
    <w:lvl w:ilvl="4" w:tentative="0">
      <w:start w:val="1"/>
      <w:numFmt w:val="lowerLetter"/>
      <w:lvlText w:val="%5)"/>
      <w:lvlJc w:val="left"/>
      <w:pPr>
        <w:tabs>
          <w:tab w:val="left" w:pos="588"/>
        </w:tabs>
        <w:ind w:left="544" w:hanging="544"/>
      </w:pPr>
      <w:rPr>
        <w:rFonts w:hint="eastAsia"/>
      </w:rPr>
    </w:lvl>
    <w:lvl w:ilvl="5" w:tentative="0">
      <w:start w:val="1"/>
      <w:numFmt w:val="lowerRoman"/>
      <w:lvlText w:val="%6."/>
      <w:lvlJc w:val="right"/>
      <w:pPr>
        <w:tabs>
          <w:tab w:val="left" w:pos="616"/>
        </w:tabs>
        <w:ind w:left="544" w:hanging="544"/>
      </w:pPr>
      <w:rPr>
        <w:rFonts w:hint="eastAsia"/>
      </w:rPr>
    </w:lvl>
    <w:lvl w:ilvl="6" w:tentative="0">
      <w:start w:val="1"/>
      <w:numFmt w:val="decimal"/>
      <w:lvlText w:val="%7."/>
      <w:lvlJc w:val="left"/>
      <w:pPr>
        <w:tabs>
          <w:tab w:val="left" w:pos="644"/>
        </w:tabs>
        <w:ind w:left="544" w:hanging="544"/>
      </w:pPr>
      <w:rPr>
        <w:rFonts w:hint="eastAsia"/>
      </w:rPr>
    </w:lvl>
    <w:lvl w:ilvl="7" w:tentative="0">
      <w:start w:val="1"/>
      <w:numFmt w:val="lowerLetter"/>
      <w:lvlText w:val="%8)"/>
      <w:lvlJc w:val="left"/>
      <w:pPr>
        <w:tabs>
          <w:tab w:val="left" w:pos="672"/>
        </w:tabs>
        <w:ind w:left="544" w:hanging="544"/>
      </w:pPr>
      <w:rPr>
        <w:rFonts w:hint="eastAsia"/>
      </w:rPr>
    </w:lvl>
    <w:lvl w:ilvl="8" w:tentative="0">
      <w:start w:val="1"/>
      <w:numFmt w:val="lowerRoman"/>
      <w:lvlText w:val="%9."/>
      <w:lvlJc w:val="right"/>
      <w:pPr>
        <w:tabs>
          <w:tab w:val="left" w:pos="700"/>
        </w:tabs>
        <w:ind w:left="544" w:hanging="544"/>
      </w:pPr>
      <w:rPr>
        <w:rFonts w:hint="eastAsia"/>
      </w:rPr>
    </w:lvl>
  </w:abstractNum>
  <w:abstractNum w:abstractNumId="8">
    <w:nsid w:val="520F62E9"/>
    <w:multiLevelType w:val="multilevel"/>
    <w:tmpl w:val="520F62E9"/>
    <w:lvl w:ilvl="0" w:tentative="0">
      <w:start w:val="1"/>
      <w:numFmt w:val="decimal"/>
      <w:pStyle w:val="133"/>
      <w:suff w:val="nothing"/>
      <w:lvlText w:val="图%1　"/>
      <w:lvlJc w:val="left"/>
      <w:pPr>
        <w:ind w:left="0" w:firstLine="0"/>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9">
    <w:nsid w:val="5E63562F"/>
    <w:multiLevelType w:val="multilevel"/>
    <w:tmpl w:val="5E63562F"/>
    <w:lvl w:ilvl="0" w:tentative="0">
      <w:start w:val="1"/>
      <w:numFmt w:val="decimal"/>
      <w:pStyle w:val="80"/>
      <w:suff w:val="nothing"/>
      <w:lvlText w:val="注%1："/>
      <w:lvlJc w:val="left"/>
      <w:pPr>
        <w:ind w:left="0" w:firstLine="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10">
    <w:nsid w:val="5EC626C9"/>
    <w:multiLevelType w:val="singleLevel"/>
    <w:tmpl w:val="5EC626C9"/>
    <w:lvl w:ilvl="0" w:tentative="0">
      <w:start w:val="1"/>
      <w:numFmt w:val="decimal"/>
      <w:pStyle w:val="90"/>
      <w:suff w:val="nothing"/>
      <w:lvlText w:val="[%1] "/>
      <w:lvlJc w:val="left"/>
      <w:pPr>
        <w:tabs>
          <w:tab w:val="left" w:pos="0"/>
        </w:tabs>
        <w:ind w:left="0" w:firstLine="420"/>
      </w:pPr>
      <w:rPr>
        <w:rFonts w:hint="default" w:ascii="宋体" w:hAnsi="宋体" w:eastAsia="宋体" w:cs="黑体"/>
      </w:rPr>
    </w:lvl>
  </w:abstractNum>
  <w:abstractNum w:abstractNumId="11">
    <w:nsid w:val="60B55DC2"/>
    <w:multiLevelType w:val="multilevel"/>
    <w:tmpl w:val="60B55DC2"/>
    <w:lvl w:ilvl="0" w:tentative="0">
      <w:start w:val="1"/>
      <w:numFmt w:val="upperLetter"/>
      <w:pStyle w:val="100"/>
      <w:lvlText w:val="%1"/>
      <w:lvlJc w:val="left"/>
      <w:pPr>
        <w:tabs>
          <w:tab w:val="left" w:pos="0"/>
        </w:tabs>
        <w:ind w:left="0" w:hanging="425"/>
      </w:pPr>
      <w:rPr>
        <w:rFonts w:hint="eastAsia"/>
      </w:rPr>
    </w:lvl>
    <w:lvl w:ilvl="1" w:tentative="0">
      <w:start w:val="1"/>
      <w:numFmt w:val="decimal"/>
      <w:pStyle w:val="101"/>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12">
    <w:nsid w:val="63404DBE"/>
    <w:multiLevelType w:val="multilevel"/>
    <w:tmpl w:val="63404DBE"/>
    <w:lvl w:ilvl="0" w:tentative="0">
      <w:start w:val="1"/>
      <w:numFmt w:val="none"/>
      <w:pStyle w:val="77"/>
      <w:suff w:val="nothing"/>
      <w:lvlText w:val="%1示例："/>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13">
    <w:nsid w:val="63AF7EBF"/>
    <w:multiLevelType w:val="multilevel"/>
    <w:tmpl w:val="63AF7EBF"/>
    <w:lvl w:ilvl="0" w:tentative="0">
      <w:start w:val="1"/>
      <w:numFmt w:val="decimal"/>
      <w:pStyle w:val="131"/>
      <w:suff w:val="nothing"/>
      <w:lvlText w:val="表%1　"/>
      <w:lvlJc w:val="left"/>
      <w:pPr>
        <w:ind w:left="0" w:firstLine="0"/>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4">
    <w:nsid w:val="657D3FBC"/>
    <w:multiLevelType w:val="multilevel"/>
    <w:tmpl w:val="657D3FBC"/>
    <w:lvl w:ilvl="0" w:tentative="0">
      <w:start w:val="1"/>
      <w:numFmt w:val="upperLetter"/>
      <w:pStyle w:val="63"/>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64"/>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65"/>
      <w:suff w:val="nothing"/>
      <w:lvlText w:val="%1.%2.%3　"/>
      <w:lvlJc w:val="left"/>
      <w:pPr>
        <w:ind w:left="0" w:firstLine="0"/>
      </w:pPr>
      <w:rPr>
        <w:rFonts w:hint="eastAsia" w:ascii="黑体" w:hAnsi="Times New Roman" w:eastAsia="黑体"/>
        <w:b w:val="0"/>
        <w:i w:val="0"/>
        <w:sz w:val="21"/>
      </w:rPr>
    </w:lvl>
    <w:lvl w:ilvl="3" w:tentative="0">
      <w:start w:val="1"/>
      <w:numFmt w:val="decimal"/>
      <w:pStyle w:val="66"/>
      <w:suff w:val="nothing"/>
      <w:lvlText w:val="%1.%2.%3.%4　"/>
      <w:lvlJc w:val="left"/>
      <w:pPr>
        <w:ind w:left="0" w:firstLine="0"/>
      </w:pPr>
      <w:rPr>
        <w:rFonts w:hint="eastAsia" w:ascii="黑体" w:hAnsi="Times New Roman" w:eastAsia="黑体"/>
        <w:b w:val="0"/>
        <w:i w:val="0"/>
        <w:sz w:val="21"/>
      </w:rPr>
    </w:lvl>
    <w:lvl w:ilvl="4" w:tentative="0">
      <w:start w:val="1"/>
      <w:numFmt w:val="decimal"/>
      <w:pStyle w:val="67"/>
      <w:suff w:val="nothing"/>
      <w:lvlText w:val="%1.%2.%3.%4.%5　"/>
      <w:lvlJc w:val="left"/>
      <w:pPr>
        <w:ind w:left="0" w:firstLine="0"/>
      </w:pPr>
      <w:rPr>
        <w:rFonts w:hint="eastAsia" w:ascii="黑体" w:hAnsi="Times New Roman" w:eastAsia="黑体"/>
        <w:b w:val="0"/>
        <w:i w:val="0"/>
        <w:sz w:val="21"/>
      </w:rPr>
    </w:lvl>
    <w:lvl w:ilvl="5" w:tentative="0">
      <w:start w:val="1"/>
      <w:numFmt w:val="decimal"/>
      <w:pStyle w:val="68"/>
      <w:suff w:val="nothing"/>
      <w:lvlText w:val="%1.%2.%3.%4.%5.%6　"/>
      <w:lvlJc w:val="left"/>
      <w:pPr>
        <w:ind w:left="0" w:firstLine="0"/>
      </w:pPr>
      <w:rPr>
        <w:rFonts w:hint="eastAsia" w:ascii="黑体" w:hAnsi="Times New Roman" w:eastAsia="黑体"/>
        <w:b w:val="0"/>
        <w:i w:val="0"/>
        <w:sz w:val="21"/>
      </w:rPr>
    </w:lvl>
    <w:lvl w:ilvl="6" w:tentative="0">
      <w:start w:val="1"/>
      <w:numFmt w:val="decimal"/>
      <w:pStyle w:val="69"/>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5">
    <w:nsid w:val="65CD2EF4"/>
    <w:multiLevelType w:val="multilevel"/>
    <w:tmpl w:val="65CD2EF4"/>
    <w:lvl w:ilvl="0" w:tentative="0">
      <w:start w:val="1"/>
      <w:numFmt w:val="lowerLetter"/>
      <w:pStyle w:val="61"/>
      <w:lvlText w:val="%1)"/>
      <w:lvlJc w:val="left"/>
      <w:pPr>
        <w:tabs>
          <w:tab w:val="left" w:pos="839"/>
        </w:tabs>
        <w:ind w:left="839" w:hanging="419"/>
      </w:pPr>
      <w:rPr>
        <w:rFonts w:hint="eastAsia" w:ascii="宋体" w:hAnsi="宋体" w:eastAsia="宋体"/>
        <w:b w:val="0"/>
        <w:i w:val="0"/>
        <w:sz w:val="20"/>
        <w:szCs w:val="21"/>
      </w:rPr>
    </w:lvl>
    <w:lvl w:ilvl="1" w:tentative="0">
      <w:start w:val="1"/>
      <w:numFmt w:val="decimal"/>
      <w:pStyle w:val="60"/>
      <w:lvlText w:val="%2)"/>
      <w:lvlJc w:val="left"/>
      <w:pPr>
        <w:tabs>
          <w:tab w:val="left" w:pos="1259"/>
        </w:tabs>
        <w:ind w:left="1259" w:hanging="420"/>
      </w:pPr>
      <w:rPr>
        <w:rFonts w:hint="eastAsia" w:ascii="宋体" w:hAnsi="宋体" w:eastAsia="宋体"/>
        <w:b w:val="0"/>
        <w:i w:val="0"/>
        <w:sz w:val="20"/>
      </w:rPr>
    </w:lvl>
    <w:lvl w:ilvl="2" w:tentative="0">
      <w:start w:val="1"/>
      <w:numFmt w:val="decimal"/>
      <w:pStyle w:val="62"/>
      <w:suff w:val="space"/>
      <w:lvlText w:val="(%3)"/>
      <w:lvlJc w:val="left"/>
      <w:pPr>
        <w:ind w:left="567" w:firstLine="692"/>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eastAsia"/>
      </w:rPr>
    </w:lvl>
    <w:lvl w:ilvl="4" w:tentative="0">
      <w:start w:val="1"/>
      <w:numFmt w:val="lowerLetter"/>
      <w:lvlText w:val="%5)"/>
      <w:lvlJc w:val="left"/>
      <w:pPr>
        <w:tabs>
          <w:tab w:val="left" w:pos="2517"/>
        </w:tabs>
        <w:ind w:left="2517" w:hanging="419"/>
      </w:pPr>
      <w:rPr>
        <w:rFonts w:hint="eastAsia"/>
      </w:rPr>
    </w:lvl>
    <w:lvl w:ilvl="5" w:tentative="0">
      <w:start w:val="1"/>
      <w:numFmt w:val="lowerRoman"/>
      <w:lvlText w:val="%6."/>
      <w:lvlJc w:val="right"/>
      <w:pPr>
        <w:tabs>
          <w:tab w:val="left" w:pos="2942"/>
        </w:tabs>
        <w:ind w:left="2937" w:hanging="420"/>
      </w:pPr>
      <w:rPr>
        <w:rFonts w:hint="eastAsia"/>
      </w:rPr>
    </w:lvl>
    <w:lvl w:ilvl="6" w:tentative="0">
      <w:start w:val="1"/>
      <w:numFmt w:val="decimal"/>
      <w:lvlText w:val="%7."/>
      <w:lvlJc w:val="left"/>
      <w:pPr>
        <w:tabs>
          <w:tab w:val="left" w:pos="3362"/>
        </w:tabs>
        <w:ind w:left="3356" w:hanging="414"/>
      </w:pPr>
      <w:rPr>
        <w:rFonts w:hint="eastAsia"/>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abstractNum w:abstractNumId="16">
    <w:nsid w:val="6AB870ED"/>
    <w:multiLevelType w:val="multilevel"/>
    <w:tmpl w:val="6AB870ED"/>
    <w:lvl w:ilvl="0" w:tentative="0">
      <w:start w:val="1"/>
      <w:numFmt w:val="decimal"/>
      <w:pStyle w:val="82"/>
      <w:suff w:val="nothing"/>
      <w:lvlText w:val="示例%1："/>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17">
    <w:nsid w:val="6D6C07CD"/>
    <w:multiLevelType w:val="multilevel"/>
    <w:tmpl w:val="6D6C07CD"/>
    <w:lvl w:ilvl="0" w:tentative="0">
      <w:start w:val="1"/>
      <w:numFmt w:val="lowerLetter"/>
      <w:lvlText w:val="%1)"/>
      <w:lvlJc w:val="left"/>
      <w:pPr>
        <w:tabs>
          <w:tab w:val="left" w:pos="839"/>
        </w:tabs>
        <w:ind w:left="839" w:hanging="419"/>
      </w:pPr>
      <w:rPr>
        <w:rFonts w:hint="eastAsia" w:ascii="宋体" w:eastAsia="宋体"/>
        <w:b w:val="0"/>
        <w:i w:val="0"/>
        <w:sz w:val="21"/>
      </w:rPr>
    </w:lvl>
    <w:lvl w:ilvl="1" w:tentative="0">
      <w:start w:val="1"/>
      <w:numFmt w:val="decimal"/>
      <w:pStyle w:val="107"/>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num w:numId="1">
    <w:abstractNumId w:val="7"/>
  </w:num>
  <w:num w:numId="2">
    <w:abstractNumId w:val="2"/>
  </w:num>
  <w:num w:numId="3">
    <w:abstractNumId w:val="15"/>
  </w:num>
  <w:num w:numId="4">
    <w:abstractNumId w:val="14"/>
  </w:num>
  <w:num w:numId="5">
    <w:abstractNumId w:val="6"/>
  </w:num>
  <w:num w:numId="6">
    <w:abstractNumId w:val="12"/>
  </w:num>
  <w:num w:numId="7">
    <w:abstractNumId w:val="1"/>
  </w:num>
  <w:num w:numId="8">
    <w:abstractNumId w:val="9"/>
  </w:num>
  <w:num w:numId="9">
    <w:abstractNumId w:val="16"/>
  </w:num>
  <w:num w:numId="10">
    <w:abstractNumId w:val="4"/>
  </w:num>
  <w:num w:numId="11">
    <w:abstractNumId w:val="0"/>
  </w:num>
  <w:num w:numId="12">
    <w:abstractNumId w:val="10"/>
  </w:num>
  <w:num w:numId="13">
    <w:abstractNumId w:val="11"/>
  </w:num>
  <w:num w:numId="14">
    <w:abstractNumId w:val="17"/>
  </w:num>
  <w:num w:numId="15">
    <w:abstractNumId w:val="5"/>
  </w:num>
  <w:num w:numId="16">
    <w:abstractNumId w:val="3"/>
  </w:num>
  <w:num w:numId="17">
    <w:abstractNumId w:val="13"/>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mirrorMargins w:val="1"/>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Y2OTMyNGMyN2EzYzcxNDNmMDdlYzA4ZmI3ZmEyMmYifQ=="/>
  </w:docVars>
  <w:rsids>
    <w:rsidRoot w:val="00035925"/>
    <w:rsid w:val="00000244"/>
    <w:rsid w:val="00000BB3"/>
    <w:rsid w:val="0000185F"/>
    <w:rsid w:val="00002116"/>
    <w:rsid w:val="00004B91"/>
    <w:rsid w:val="00004E32"/>
    <w:rsid w:val="0000586F"/>
    <w:rsid w:val="00006902"/>
    <w:rsid w:val="00013D86"/>
    <w:rsid w:val="00013E02"/>
    <w:rsid w:val="00021230"/>
    <w:rsid w:val="0002143C"/>
    <w:rsid w:val="00025A65"/>
    <w:rsid w:val="00026C31"/>
    <w:rsid w:val="00027280"/>
    <w:rsid w:val="000320A7"/>
    <w:rsid w:val="000325EA"/>
    <w:rsid w:val="00035925"/>
    <w:rsid w:val="00036C2C"/>
    <w:rsid w:val="00036FFE"/>
    <w:rsid w:val="00041184"/>
    <w:rsid w:val="00045A7C"/>
    <w:rsid w:val="00050F2A"/>
    <w:rsid w:val="00052F20"/>
    <w:rsid w:val="00055371"/>
    <w:rsid w:val="00056A24"/>
    <w:rsid w:val="00057CE5"/>
    <w:rsid w:val="000607A3"/>
    <w:rsid w:val="000657F7"/>
    <w:rsid w:val="00065DF4"/>
    <w:rsid w:val="00067CDF"/>
    <w:rsid w:val="00074FBE"/>
    <w:rsid w:val="0007762A"/>
    <w:rsid w:val="00081F6E"/>
    <w:rsid w:val="00083A09"/>
    <w:rsid w:val="0009005E"/>
    <w:rsid w:val="000918A9"/>
    <w:rsid w:val="00092001"/>
    <w:rsid w:val="00092618"/>
    <w:rsid w:val="00092857"/>
    <w:rsid w:val="00092BD8"/>
    <w:rsid w:val="00093B6E"/>
    <w:rsid w:val="00094B7B"/>
    <w:rsid w:val="000964C7"/>
    <w:rsid w:val="000979D9"/>
    <w:rsid w:val="000A20A9"/>
    <w:rsid w:val="000A48B1"/>
    <w:rsid w:val="000A74B6"/>
    <w:rsid w:val="000B2671"/>
    <w:rsid w:val="000B2F0E"/>
    <w:rsid w:val="000B3143"/>
    <w:rsid w:val="000B405D"/>
    <w:rsid w:val="000C1A52"/>
    <w:rsid w:val="000C2BE6"/>
    <w:rsid w:val="000C4FDD"/>
    <w:rsid w:val="000C66C4"/>
    <w:rsid w:val="000C6B05"/>
    <w:rsid w:val="000C6DD6"/>
    <w:rsid w:val="000C73D4"/>
    <w:rsid w:val="000D3D4C"/>
    <w:rsid w:val="000D4F51"/>
    <w:rsid w:val="000D718B"/>
    <w:rsid w:val="000E0C46"/>
    <w:rsid w:val="000E15EE"/>
    <w:rsid w:val="000F030C"/>
    <w:rsid w:val="000F129C"/>
    <w:rsid w:val="000F174F"/>
    <w:rsid w:val="000F43F8"/>
    <w:rsid w:val="00104E29"/>
    <w:rsid w:val="001056DE"/>
    <w:rsid w:val="001124C0"/>
    <w:rsid w:val="001162C0"/>
    <w:rsid w:val="00117A25"/>
    <w:rsid w:val="00121293"/>
    <w:rsid w:val="0013175F"/>
    <w:rsid w:val="0013364D"/>
    <w:rsid w:val="001343BB"/>
    <w:rsid w:val="00134C46"/>
    <w:rsid w:val="00135256"/>
    <w:rsid w:val="00135387"/>
    <w:rsid w:val="00145A3E"/>
    <w:rsid w:val="00145B0A"/>
    <w:rsid w:val="001512B4"/>
    <w:rsid w:val="00153A26"/>
    <w:rsid w:val="001620A5"/>
    <w:rsid w:val="00164352"/>
    <w:rsid w:val="00164E53"/>
    <w:rsid w:val="00165269"/>
    <w:rsid w:val="00165D35"/>
    <w:rsid w:val="0016699D"/>
    <w:rsid w:val="001670D9"/>
    <w:rsid w:val="001722E1"/>
    <w:rsid w:val="00173A06"/>
    <w:rsid w:val="00174DD2"/>
    <w:rsid w:val="00175159"/>
    <w:rsid w:val="00175AD7"/>
    <w:rsid w:val="00176208"/>
    <w:rsid w:val="00177196"/>
    <w:rsid w:val="0017780C"/>
    <w:rsid w:val="001813B2"/>
    <w:rsid w:val="0018211B"/>
    <w:rsid w:val="00183FE1"/>
    <w:rsid w:val="001840D3"/>
    <w:rsid w:val="00184782"/>
    <w:rsid w:val="00187A8A"/>
    <w:rsid w:val="001900F8"/>
    <w:rsid w:val="00191258"/>
    <w:rsid w:val="00192680"/>
    <w:rsid w:val="00193037"/>
    <w:rsid w:val="00193375"/>
    <w:rsid w:val="00193A2C"/>
    <w:rsid w:val="001A288E"/>
    <w:rsid w:val="001A3679"/>
    <w:rsid w:val="001A5EFC"/>
    <w:rsid w:val="001A7684"/>
    <w:rsid w:val="001B0C29"/>
    <w:rsid w:val="001B36ED"/>
    <w:rsid w:val="001B6DC2"/>
    <w:rsid w:val="001B754B"/>
    <w:rsid w:val="001B7BC5"/>
    <w:rsid w:val="001C149C"/>
    <w:rsid w:val="001C21AC"/>
    <w:rsid w:val="001C3689"/>
    <w:rsid w:val="001C47BA"/>
    <w:rsid w:val="001C59EA"/>
    <w:rsid w:val="001D3556"/>
    <w:rsid w:val="001D406C"/>
    <w:rsid w:val="001D41EE"/>
    <w:rsid w:val="001D4BEB"/>
    <w:rsid w:val="001D5EE7"/>
    <w:rsid w:val="001D6B6C"/>
    <w:rsid w:val="001D71E6"/>
    <w:rsid w:val="001E0380"/>
    <w:rsid w:val="001E0B1B"/>
    <w:rsid w:val="001E12EB"/>
    <w:rsid w:val="001E13B1"/>
    <w:rsid w:val="001E2153"/>
    <w:rsid w:val="001E4CF5"/>
    <w:rsid w:val="001F15B8"/>
    <w:rsid w:val="001F3A19"/>
    <w:rsid w:val="001F60CA"/>
    <w:rsid w:val="002009E4"/>
    <w:rsid w:val="00201053"/>
    <w:rsid w:val="0020251B"/>
    <w:rsid w:val="00202FA6"/>
    <w:rsid w:val="002073D3"/>
    <w:rsid w:val="002074DE"/>
    <w:rsid w:val="00210A81"/>
    <w:rsid w:val="00215535"/>
    <w:rsid w:val="00215D48"/>
    <w:rsid w:val="0021624B"/>
    <w:rsid w:val="0022185E"/>
    <w:rsid w:val="0022449B"/>
    <w:rsid w:val="00227F55"/>
    <w:rsid w:val="00227FED"/>
    <w:rsid w:val="0023030A"/>
    <w:rsid w:val="00230F08"/>
    <w:rsid w:val="00233F70"/>
    <w:rsid w:val="00234467"/>
    <w:rsid w:val="00235BE6"/>
    <w:rsid w:val="00235EBB"/>
    <w:rsid w:val="00235FA7"/>
    <w:rsid w:val="00237D8D"/>
    <w:rsid w:val="00241DA2"/>
    <w:rsid w:val="00247FEE"/>
    <w:rsid w:val="00250E7D"/>
    <w:rsid w:val="002523DB"/>
    <w:rsid w:val="002527DD"/>
    <w:rsid w:val="00252DAA"/>
    <w:rsid w:val="002565D5"/>
    <w:rsid w:val="002622C0"/>
    <w:rsid w:val="002703BA"/>
    <w:rsid w:val="002751CF"/>
    <w:rsid w:val="002778AE"/>
    <w:rsid w:val="0028269A"/>
    <w:rsid w:val="00283590"/>
    <w:rsid w:val="0028577E"/>
    <w:rsid w:val="0028656D"/>
    <w:rsid w:val="00286973"/>
    <w:rsid w:val="00286CB7"/>
    <w:rsid w:val="00287674"/>
    <w:rsid w:val="002913FC"/>
    <w:rsid w:val="002938A4"/>
    <w:rsid w:val="00294E70"/>
    <w:rsid w:val="002954B8"/>
    <w:rsid w:val="002967B2"/>
    <w:rsid w:val="002973F1"/>
    <w:rsid w:val="002A1924"/>
    <w:rsid w:val="002A4273"/>
    <w:rsid w:val="002A7420"/>
    <w:rsid w:val="002A7A7E"/>
    <w:rsid w:val="002B0F12"/>
    <w:rsid w:val="002B1308"/>
    <w:rsid w:val="002B4554"/>
    <w:rsid w:val="002B5B25"/>
    <w:rsid w:val="002B707C"/>
    <w:rsid w:val="002C5399"/>
    <w:rsid w:val="002C72D8"/>
    <w:rsid w:val="002D11FA"/>
    <w:rsid w:val="002D17BC"/>
    <w:rsid w:val="002D19A4"/>
    <w:rsid w:val="002D394B"/>
    <w:rsid w:val="002D3C39"/>
    <w:rsid w:val="002D40AD"/>
    <w:rsid w:val="002D6352"/>
    <w:rsid w:val="002E0DDF"/>
    <w:rsid w:val="002E2906"/>
    <w:rsid w:val="002E5635"/>
    <w:rsid w:val="002E64C3"/>
    <w:rsid w:val="002E6A2C"/>
    <w:rsid w:val="002E70FF"/>
    <w:rsid w:val="002F035E"/>
    <w:rsid w:val="002F0FE8"/>
    <w:rsid w:val="002F1B39"/>
    <w:rsid w:val="002F1D8C"/>
    <w:rsid w:val="002F21DA"/>
    <w:rsid w:val="002F2AC4"/>
    <w:rsid w:val="002F34B8"/>
    <w:rsid w:val="002F4849"/>
    <w:rsid w:val="00301F39"/>
    <w:rsid w:val="00302F51"/>
    <w:rsid w:val="00303D27"/>
    <w:rsid w:val="0030440D"/>
    <w:rsid w:val="00305BEE"/>
    <w:rsid w:val="00313962"/>
    <w:rsid w:val="003234E0"/>
    <w:rsid w:val="003243F0"/>
    <w:rsid w:val="00325926"/>
    <w:rsid w:val="00326A38"/>
    <w:rsid w:val="00326CD1"/>
    <w:rsid w:val="00327A8A"/>
    <w:rsid w:val="00327D22"/>
    <w:rsid w:val="0033217F"/>
    <w:rsid w:val="00332AE0"/>
    <w:rsid w:val="003339A3"/>
    <w:rsid w:val="00335B63"/>
    <w:rsid w:val="00336610"/>
    <w:rsid w:val="00341F5C"/>
    <w:rsid w:val="00343D23"/>
    <w:rsid w:val="00343F73"/>
    <w:rsid w:val="00345060"/>
    <w:rsid w:val="003451FB"/>
    <w:rsid w:val="00352629"/>
    <w:rsid w:val="0035323B"/>
    <w:rsid w:val="00353D19"/>
    <w:rsid w:val="0035785A"/>
    <w:rsid w:val="003609D2"/>
    <w:rsid w:val="0036254D"/>
    <w:rsid w:val="00363F22"/>
    <w:rsid w:val="00364940"/>
    <w:rsid w:val="00367CF1"/>
    <w:rsid w:val="00375564"/>
    <w:rsid w:val="00376489"/>
    <w:rsid w:val="00376932"/>
    <w:rsid w:val="00383191"/>
    <w:rsid w:val="00386DED"/>
    <w:rsid w:val="00386E6A"/>
    <w:rsid w:val="003912E7"/>
    <w:rsid w:val="00393947"/>
    <w:rsid w:val="00395141"/>
    <w:rsid w:val="003A0E27"/>
    <w:rsid w:val="003A2275"/>
    <w:rsid w:val="003A2C90"/>
    <w:rsid w:val="003A6A4F"/>
    <w:rsid w:val="003A7088"/>
    <w:rsid w:val="003B00DF"/>
    <w:rsid w:val="003B1275"/>
    <w:rsid w:val="003B1778"/>
    <w:rsid w:val="003B6C28"/>
    <w:rsid w:val="003C11CB"/>
    <w:rsid w:val="003C3017"/>
    <w:rsid w:val="003C6A77"/>
    <w:rsid w:val="003C75F3"/>
    <w:rsid w:val="003C78A3"/>
    <w:rsid w:val="003D36AB"/>
    <w:rsid w:val="003E0769"/>
    <w:rsid w:val="003E1867"/>
    <w:rsid w:val="003E26A7"/>
    <w:rsid w:val="003E5729"/>
    <w:rsid w:val="003E724E"/>
    <w:rsid w:val="003F1D40"/>
    <w:rsid w:val="003F22BB"/>
    <w:rsid w:val="003F2A5B"/>
    <w:rsid w:val="003F4EE0"/>
    <w:rsid w:val="003F5559"/>
    <w:rsid w:val="00400473"/>
    <w:rsid w:val="00402153"/>
    <w:rsid w:val="00402E26"/>
    <w:rsid w:val="00402FC1"/>
    <w:rsid w:val="0041548C"/>
    <w:rsid w:val="00417BF6"/>
    <w:rsid w:val="004200D9"/>
    <w:rsid w:val="00422EC9"/>
    <w:rsid w:val="0042493B"/>
    <w:rsid w:val="00425082"/>
    <w:rsid w:val="00426AC9"/>
    <w:rsid w:val="00431DEB"/>
    <w:rsid w:val="0044259D"/>
    <w:rsid w:val="004439D9"/>
    <w:rsid w:val="00446B29"/>
    <w:rsid w:val="004473C4"/>
    <w:rsid w:val="004524BE"/>
    <w:rsid w:val="00453AAE"/>
    <w:rsid w:val="00453F9A"/>
    <w:rsid w:val="00454CC3"/>
    <w:rsid w:val="00464903"/>
    <w:rsid w:val="00464D67"/>
    <w:rsid w:val="00471E91"/>
    <w:rsid w:val="00474079"/>
    <w:rsid w:val="00474675"/>
    <w:rsid w:val="0047470C"/>
    <w:rsid w:val="00484C88"/>
    <w:rsid w:val="004A203E"/>
    <w:rsid w:val="004A35F9"/>
    <w:rsid w:val="004A4662"/>
    <w:rsid w:val="004A4AEA"/>
    <w:rsid w:val="004A5851"/>
    <w:rsid w:val="004A59A9"/>
    <w:rsid w:val="004A5D7D"/>
    <w:rsid w:val="004A6F09"/>
    <w:rsid w:val="004A7E02"/>
    <w:rsid w:val="004B157A"/>
    <w:rsid w:val="004B24C1"/>
    <w:rsid w:val="004B3092"/>
    <w:rsid w:val="004B49B1"/>
    <w:rsid w:val="004B557C"/>
    <w:rsid w:val="004B6815"/>
    <w:rsid w:val="004C292F"/>
    <w:rsid w:val="004C657F"/>
    <w:rsid w:val="004D306F"/>
    <w:rsid w:val="004D4B02"/>
    <w:rsid w:val="004D4F76"/>
    <w:rsid w:val="004E357D"/>
    <w:rsid w:val="004E4B13"/>
    <w:rsid w:val="004E4B8C"/>
    <w:rsid w:val="004E5A47"/>
    <w:rsid w:val="004F57D0"/>
    <w:rsid w:val="004F7D2C"/>
    <w:rsid w:val="005036E2"/>
    <w:rsid w:val="00510280"/>
    <w:rsid w:val="00513D73"/>
    <w:rsid w:val="005148B3"/>
    <w:rsid w:val="00514A43"/>
    <w:rsid w:val="00515E9C"/>
    <w:rsid w:val="005174E5"/>
    <w:rsid w:val="00520898"/>
    <w:rsid w:val="00521629"/>
    <w:rsid w:val="00522393"/>
    <w:rsid w:val="00522620"/>
    <w:rsid w:val="00525656"/>
    <w:rsid w:val="00525BF3"/>
    <w:rsid w:val="00534C02"/>
    <w:rsid w:val="0054044C"/>
    <w:rsid w:val="0054264B"/>
    <w:rsid w:val="00543786"/>
    <w:rsid w:val="0054553D"/>
    <w:rsid w:val="00545A49"/>
    <w:rsid w:val="005463CC"/>
    <w:rsid w:val="00546D0D"/>
    <w:rsid w:val="0055153A"/>
    <w:rsid w:val="005533D7"/>
    <w:rsid w:val="00554B63"/>
    <w:rsid w:val="00562CF6"/>
    <w:rsid w:val="00564992"/>
    <w:rsid w:val="0056544B"/>
    <w:rsid w:val="00567177"/>
    <w:rsid w:val="005702D1"/>
    <w:rsid w:val="005703DE"/>
    <w:rsid w:val="005710BC"/>
    <w:rsid w:val="0057420E"/>
    <w:rsid w:val="005755F1"/>
    <w:rsid w:val="00576249"/>
    <w:rsid w:val="00581927"/>
    <w:rsid w:val="00582BBE"/>
    <w:rsid w:val="0058311A"/>
    <w:rsid w:val="0058464E"/>
    <w:rsid w:val="0058650E"/>
    <w:rsid w:val="00593B03"/>
    <w:rsid w:val="00593ED6"/>
    <w:rsid w:val="005A01CB"/>
    <w:rsid w:val="005A1955"/>
    <w:rsid w:val="005A19A9"/>
    <w:rsid w:val="005A1DEA"/>
    <w:rsid w:val="005A58FF"/>
    <w:rsid w:val="005A5EAF"/>
    <w:rsid w:val="005A6491"/>
    <w:rsid w:val="005A64C0"/>
    <w:rsid w:val="005B1985"/>
    <w:rsid w:val="005B35F9"/>
    <w:rsid w:val="005B3C11"/>
    <w:rsid w:val="005C1C28"/>
    <w:rsid w:val="005C414F"/>
    <w:rsid w:val="005C43D0"/>
    <w:rsid w:val="005C66CD"/>
    <w:rsid w:val="005C6DB5"/>
    <w:rsid w:val="005C7C12"/>
    <w:rsid w:val="005D3842"/>
    <w:rsid w:val="005E19E7"/>
    <w:rsid w:val="005E2392"/>
    <w:rsid w:val="005E3323"/>
    <w:rsid w:val="005F7927"/>
    <w:rsid w:val="00601622"/>
    <w:rsid w:val="0060789B"/>
    <w:rsid w:val="0061037E"/>
    <w:rsid w:val="00612FDC"/>
    <w:rsid w:val="00613FAA"/>
    <w:rsid w:val="00615887"/>
    <w:rsid w:val="00616C36"/>
    <w:rsid w:val="0061716C"/>
    <w:rsid w:val="006171AF"/>
    <w:rsid w:val="00617868"/>
    <w:rsid w:val="006243A1"/>
    <w:rsid w:val="00626005"/>
    <w:rsid w:val="00632E56"/>
    <w:rsid w:val="006337B9"/>
    <w:rsid w:val="00635CBA"/>
    <w:rsid w:val="00636EFC"/>
    <w:rsid w:val="0064338B"/>
    <w:rsid w:val="00646542"/>
    <w:rsid w:val="006504F4"/>
    <w:rsid w:val="0065366F"/>
    <w:rsid w:val="00654BC9"/>
    <w:rsid w:val="006552FD"/>
    <w:rsid w:val="00656F0B"/>
    <w:rsid w:val="00663393"/>
    <w:rsid w:val="00663733"/>
    <w:rsid w:val="00663AF3"/>
    <w:rsid w:val="00666B6C"/>
    <w:rsid w:val="00677B54"/>
    <w:rsid w:val="00682682"/>
    <w:rsid w:val="00682702"/>
    <w:rsid w:val="00683A1C"/>
    <w:rsid w:val="006845B2"/>
    <w:rsid w:val="0068684F"/>
    <w:rsid w:val="00692368"/>
    <w:rsid w:val="00695192"/>
    <w:rsid w:val="0069697B"/>
    <w:rsid w:val="006A2EBC"/>
    <w:rsid w:val="006A5EA0"/>
    <w:rsid w:val="006A783B"/>
    <w:rsid w:val="006A7B33"/>
    <w:rsid w:val="006B497F"/>
    <w:rsid w:val="006B4E13"/>
    <w:rsid w:val="006B75DD"/>
    <w:rsid w:val="006C047C"/>
    <w:rsid w:val="006C3D8B"/>
    <w:rsid w:val="006C67E0"/>
    <w:rsid w:val="006C759A"/>
    <w:rsid w:val="006C7ABA"/>
    <w:rsid w:val="006D0A13"/>
    <w:rsid w:val="006D0D60"/>
    <w:rsid w:val="006D1122"/>
    <w:rsid w:val="006D317E"/>
    <w:rsid w:val="006D3B1E"/>
    <w:rsid w:val="006D3C00"/>
    <w:rsid w:val="006E06AD"/>
    <w:rsid w:val="006E3675"/>
    <w:rsid w:val="006E41E7"/>
    <w:rsid w:val="006E4A7F"/>
    <w:rsid w:val="006F0967"/>
    <w:rsid w:val="006F2274"/>
    <w:rsid w:val="006F64A0"/>
    <w:rsid w:val="006F73B3"/>
    <w:rsid w:val="0070038F"/>
    <w:rsid w:val="007027B1"/>
    <w:rsid w:val="0070286C"/>
    <w:rsid w:val="00704DF6"/>
    <w:rsid w:val="0070641D"/>
    <w:rsid w:val="0070651C"/>
    <w:rsid w:val="007132A3"/>
    <w:rsid w:val="00716421"/>
    <w:rsid w:val="00716BB3"/>
    <w:rsid w:val="00721419"/>
    <w:rsid w:val="0072293C"/>
    <w:rsid w:val="0072340A"/>
    <w:rsid w:val="00724EFB"/>
    <w:rsid w:val="007251BB"/>
    <w:rsid w:val="00726575"/>
    <w:rsid w:val="00730310"/>
    <w:rsid w:val="00736DC6"/>
    <w:rsid w:val="00740A49"/>
    <w:rsid w:val="007419C3"/>
    <w:rsid w:val="00746559"/>
    <w:rsid w:val="007467A7"/>
    <w:rsid w:val="007469DD"/>
    <w:rsid w:val="0074741B"/>
    <w:rsid w:val="0074759E"/>
    <w:rsid w:val="007478EA"/>
    <w:rsid w:val="00747CD8"/>
    <w:rsid w:val="0075415C"/>
    <w:rsid w:val="00757027"/>
    <w:rsid w:val="00757097"/>
    <w:rsid w:val="007606CB"/>
    <w:rsid w:val="00761E8B"/>
    <w:rsid w:val="00763410"/>
    <w:rsid w:val="00763502"/>
    <w:rsid w:val="007666A0"/>
    <w:rsid w:val="00780DE2"/>
    <w:rsid w:val="00782F81"/>
    <w:rsid w:val="007855FF"/>
    <w:rsid w:val="007913AB"/>
    <w:rsid w:val="007914F7"/>
    <w:rsid w:val="007925F8"/>
    <w:rsid w:val="00793B8B"/>
    <w:rsid w:val="00795C73"/>
    <w:rsid w:val="00796853"/>
    <w:rsid w:val="007A1A2E"/>
    <w:rsid w:val="007A284D"/>
    <w:rsid w:val="007A4809"/>
    <w:rsid w:val="007B1625"/>
    <w:rsid w:val="007B2EEC"/>
    <w:rsid w:val="007B706E"/>
    <w:rsid w:val="007B71EB"/>
    <w:rsid w:val="007C0748"/>
    <w:rsid w:val="007C6205"/>
    <w:rsid w:val="007C686A"/>
    <w:rsid w:val="007C728E"/>
    <w:rsid w:val="007D0629"/>
    <w:rsid w:val="007D0BE0"/>
    <w:rsid w:val="007D11AA"/>
    <w:rsid w:val="007D204F"/>
    <w:rsid w:val="007D2C53"/>
    <w:rsid w:val="007D3354"/>
    <w:rsid w:val="007D3D60"/>
    <w:rsid w:val="007D62E4"/>
    <w:rsid w:val="007E0A59"/>
    <w:rsid w:val="007E1980"/>
    <w:rsid w:val="007E4B76"/>
    <w:rsid w:val="007E5043"/>
    <w:rsid w:val="007E5EA8"/>
    <w:rsid w:val="007F0104"/>
    <w:rsid w:val="007F0CF1"/>
    <w:rsid w:val="007F12A5"/>
    <w:rsid w:val="007F2D74"/>
    <w:rsid w:val="007F3FB7"/>
    <w:rsid w:val="007F4CF1"/>
    <w:rsid w:val="007F530D"/>
    <w:rsid w:val="007F6D16"/>
    <w:rsid w:val="007F758D"/>
    <w:rsid w:val="007F7D52"/>
    <w:rsid w:val="0080484A"/>
    <w:rsid w:val="00805589"/>
    <w:rsid w:val="008057A5"/>
    <w:rsid w:val="00805E2F"/>
    <w:rsid w:val="0080654C"/>
    <w:rsid w:val="008071C6"/>
    <w:rsid w:val="008106F3"/>
    <w:rsid w:val="00817A00"/>
    <w:rsid w:val="00820B95"/>
    <w:rsid w:val="00825891"/>
    <w:rsid w:val="00831631"/>
    <w:rsid w:val="0083228D"/>
    <w:rsid w:val="00833D07"/>
    <w:rsid w:val="00835DB3"/>
    <w:rsid w:val="0083617B"/>
    <w:rsid w:val="00836342"/>
    <w:rsid w:val="00836A2D"/>
    <w:rsid w:val="008371BD"/>
    <w:rsid w:val="00837274"/>
    <w:rsid w:val="00840EBF"/>
    <w:rsid w:val="008504A8"/>
    <w:rsid w:val="00851B58"/>
    <w:rsid w:val="00852353"/>
    <w:rsid w:val="0085282E"/>
    <w:rsid w:val="008529E3"/>
    <w:rsid w:val="00853BDF"/>
    <w:rsid w:val="00863982"/>
    <w:rsid w:val="0087198C"/>
    <w:rsid w:val="00872C1F"/>
    <w:rsid w:val="00873B42"/>
    <w:rsid w:val="00874924"/>
    <w:rsid w:val="00877CB0"/>
    <w:rsid w:val="008805AC"/>
    <w:rsid w:val="00880D1A"/>
    <w:rsid w:val="00882F13"/>
    <w:rsid w:val="00884468"/>
    <w:rsid w:val="008856D8"/>
    <w:rsid w:val="0089179A"/>
    <w:rsid w:val="00891D4C"/>
    <w:rsid w:val="00892E82"/>
    <w:rsid w:val="00892E8C"/>
    <w:rsid w:val="00893277"/>
    <w:rsid w:val="00895FA9"/>
    <w:rsid w:val="008A1035"/>
    <w:rsid w:val="008A6E08"/>
    <w:rsid w:val="008B6F93"/>
    <w:rsid w:val="008C0BE9"/>
    <w:rsid w:val="008C1B58"/>
    <w:rsid w:val="008C39AE"/>
    <w:rsid w:val="008C40DF"/>
    <w:rsid w:val="008C590D"/>
    <w:rsid w:val="008C73A8"/>
    <w:rsid w:val="008D447E"/>
    <w:rsid w:val="008D7566"/>
    <w:rsid w:val="008E031B"/>
    <w:rsid w:val="008E0560"/>
    <w:rsid w:val="008E2D8C"/>
    <w:rsid w:val="008E4150"/>
    <w:rsid w:val="008E48AF"/>
    <w:rsid w:val="008E7029"/>
    <w:rsid w:val="008E7EF6"/>
    <w:rsid w:val="008F1F98"/>
    <w:rsid w:val="008F2340"/>
    <w:rsid w:val="008F2790"/>
    <w:rsid w:val="008F35C7"/>
    <w:rsid w:val="008F6758"/>
    <w:rsid w:val="008F7673"/>
    <w:rsid w:val="009022CA"/>
    <w:rsid w:val="009040DD"/>
    <w:rsid w:val="00904C17"/>
    <w:rsid w:val="00905B47"/>
    <w:rsid w:val="0090690F"/>
    <w:rsid w:val="00910645"/>
    <w:rsid w:val="00911391"/>
    <w:rsid w:val="0091213E"/>
    <w:rsid w:val="0091331C"/>
    <w:rsid w:val="009137BD"/>
    <w:rsid w:val="0091503D"/>
    <w:rsid w:val="0092310D"/>
    <w:rsid w:val="0092412F"/>
    <w:rsid w:val="00924671"/>
    <w:rsid w:val="009279DE"/>
    <w:rsid w:val="00927AB9"/>
    <w:rsid w:val="00927B37"/>
    <w:rsid w:val="00930116"/>
    <w:rsid w:val="00930625"/>
    <w:rsid w:val="00941082"/>
    <w:rsid w:val="0094212C"/>
    <w:rsid w:val="00944853"/>
    <w:rsid w:val="0094609D"/>
    <w:rsid w:val="00953142"/>
    <w:rsid w:val="0095378C"/>
    <w:rsid w:val="00954689"/>
    <w:rsid w:val="0095472A"/>
    <w:rsid w:val="009560B8"/>
    <w:rsid w:val="0096085A"/>
    <w:rsid w:val="009617C9"/>
    <w:rsid w:val="00961C93"/>
    <w:rsid w:val="00962B4E"/>
    <w:rsid w:val="00965324"/>
    <w:rsid w:val="0097091E"/>
    <w:rsid w:val="00972046"/>
    <w:rsid w:val="009760D3"/>
    <w:rsid w:val="00977132"/>
    <w:rsid w:val="00981A4B"/>
    <w:rsid w:val="00982250"/>
    <w:rsid w:val="00982501"/>
    <w:rsid w:val="00983D33"/>
    <w:rsid w:val="00984358"/>
    <w:rsid w:val="0098533A"/>
    <w:rsid w:val="009877D3"/>
    <w:rsid w:val="00991275"/>
    <w:rsid w:val="00994E8F"/>
    <w:rsid w:val="009951DC"/>
    <w:rsid w:val="009959BB"/>
    <w:rsid w:val="00997158"/>
    <w:rsid w:val="009A0073"/>
    <w:rsid w:val="009A0827"/>
    <w:rsid w:val="009A2C45"/>
    <w:rsid w:val="009A394A"/>
    <w:rsid w:val="009A3A7C"/>
    <w:rsid w:val="009A5D33"/>
    <w:rsid w:val="009A7D84"/>
    <w:rsid w:val="009B2323"/>
    <w:rsid w:val="009B2ADB"/>
    <w:rsid w:val="009B5C73"/>
    <w:rsid w:val="009B603A"/>
    <w:rsid w:val="009B6601"/>
    <w:rsid w:val="009C2627"/>
    <w:rsid w:val="009C2D0E"/>
    <w:rsid w:val="009C3DAC"/>
    <w:rsid w:val="009C3F86"/>
    <w:rsid w:val="009C42E0"/>
    <w:rsid w:val="009C62DE"/>
    <w:rsid w:val="009D0AA0"/>
    <w:rsid w:val="009D3230"/>
    <w:rsid w:val="009D5362"/>
    <w:rsid w:val="009E1415"/>
    <w:rsid w:val="009E6116"/>
    <w:rsid w:val="009E7814"/>
    <w:rsid w:val="009E7E25"/>
    <w:rsid w:val="009F0717"/>
    <w:rsid w:val="00A02E43"/>
    <w:rsid w:val="00A048E7"/>
    <w:rsid w:val="00A05368"/>
    <w:rsid w:val="00A065F9"/>
    <w:rsid w:val="00A07011"/>
    <w:rsid w:val="00A07F34"/>
    <w:rsid w:val="00A13777"/>
    <w:rsid w:val="00A20D98"/>
    <w:rsid w:val="00A22154"/>
    <w:rsid w:val="00A239F2"/>
    <w:rsid w:val="00A24058"/>
    <w:rsid w:val="00A25C38"/>
    <w:rsid w:val="00A303BF"/>
    <w:rsid w:val="00A3182E"/>
    <w:rsid w:val="00A35824"/>
    <w:rsid w:val="00A36BBE"/>
    <w:rsid w:val="00A37C20"/>
    <w:rsid w:val="00A40D9E"/>
    <w:rsid w:val="00A41DF7"/>
    <w:rsid w:val="00A420B1"/>
    <w:rsid w:val="00A42910"/>
    <w:rsid w:val="00A42ECA"/>
    <w:rsid w:val="00A4307A"/>
    <w:rsid w:val="00A46391"/>
    <w:rsid w:val="00A46DEF"/>
    <w:rsid w:val="00A47EBB"/>
    <w:rsid w:val="00A51CDD"/>
    <w:rsid w:val="00A563F8"/>
    <w:rsid w:val="00A56BBA"/>
    <w:rsid w:val="00A662F6"/>
    <w:rsid w:val="00A6730D"/>
    <w:rsid w:val="00A71625"/>
    <w:rsid w:val="00A71B9B"/>
    <w:rsid w:val="00A73289"/>
    <w:rsid w:val="00A751C7"/>
    <w:rsid w:val="00A75CF6"/>
    <w:rsid w:val="00A80008"/>
    <w:rsid w:val="00A805A9"/>
    <w:rsid w:val="00A84CE5"/>
    <w:rsid w:val="00A87844"/>
    <w:rsid w:val="00A9227B"/>
    <w:rsid w:val="00A97A55"/>
    <w:rsid w:val="00AA038C"/>
    <w:rsid w:val="00AA6577"/>
    <w:rsid w:val="00AA7A09"/>
    <w:rsid w:val="00AB3B50"/>
    <w:rsid w:val="00AB7F80"/>
    <w:rsid w:val="00AC05B1"/>
    <w:rsid w:val="00AC450C"/>
    <w:rsid w:val="00AC698B"/>
    <w:rsid w:val="00AD340B"/>
    <w:rsid w:val="00AD356C"/>
    <w:rsid w:val="00AE2914"/>
    <w:rsid w:val="00AE6D15"/>
    <w:rsid w:val="00AE7023"/>
    <w:rsid w:val="00AE78AA"/>
    <w:rsid w:val="00AF0EF3"/>
    <w:rsid w:val="00AF112F"/>
    <w:rsid w:val="00AF1F49"/>
    <w:rsid w:val="00AF2D81"/>
    <w:rsid w:val="00AF55A7"/>
    <w:rsid w:val="00AF69FA"/>
    <w:rsid w:val="00B04182"/>
    <w:rsid w:val="00B05ECF"/>
    <w:rsid w:val="00B0798D"/>
    <w:rsid w:val="00B07AE3"/>
    <w:rsid w:val="00B11430"/>
    <w:rsid w:val="00B12A5D"/>
    <w:rsid w:val="00B242F4"/>
    <w:rsid w:val="00B2477A"/>
    <w:rsid w:val="00B24D1C"/>
    <w:rsid w:val="00B30072"/>
    <w:rsid w:val="00B30481"/>
    <w:rsid w:val="00B31248"/>
    <w:rsid w:val="00B325F4"/>
    <w:rsid w:val="00B3312F"/>
    <w:rsid w:val="00B353EB"/>
    <w:rsid w:val="00B4016F"/>
    <w:rsid w:val="00B407AC"/>
    <w:rsid w:val="00B439C4"/>
    <w:rsid w:val="00B44D9F"/>
    <w:rsid w:val="00B4535E"/>
    <w:rsid w:val="00B52A8C"/>
    <w:rsid w:val="00B54707"/>
    <w:rsid w:val="00B56155"/>
    <w:rsid w:val="00B56AD0"/>
    <w:rsid w:val="00B62F11"/>
    <w:rsid w:val="00B63042"/>
    <w:rsid w:val="00B636A8"/>
    <w:rsid w:val="00B64CEF"/>
    <w:rsid w:val="00B64EF8"/>
    <w:rsid w:val="00B665C6"/>
    <w:rsid w:val="00B72AD8"/>
    <w:rsid w:val="00B74441"/>
    <w:rsid w:val="00B758A5"/>
    <w:rsid w:val="00B805AF"/>
    <w:rsid w:val="00B82BD5"/>
    <w:rsid w:val="00B869EC"/>
    <w:rsid w:val="00B87031"/>
    <w:rsid w:val="00B91823"/>
    <w:rsid w:val="00B92383"/>
    <w:rsid w:val="00B9397A"/>
    <w:rsid w:val="00B9633D"/>
    <w:rsid w:val="00B967D5"/>
    <w:rsid w:val="00B969B7"/>
    <w:rsid w:val="00B96C56"/>
    <w:rsid w:val="00B97A41"/>
    <w:rsid w:val="00BA2D87"/>
    <w:rsid w:val="00BA2EBE"/>
    <w:rsid w:val="00BB0222"/>
    <w:rsid w:val="00BB0F28"/>
    <w:rsid w:val="00BB4147"/>
    <w:rsid w:val="00BB458A"/>
    <w:rsid w:val="00BB693F"/>
    <w:rsid w:val="00BB6C11"/>
    <w:rsid w:val="00BC282D"/>
    <w:rsid w:val="00BC5953"/>
    <w:rsid w:val="00BC7A0F"/>
    <w:rsid w:val="00BD00D3"/>
    <w:rsid w:val="00BD1659"/>
    <w:rsid w:val="00BD3AA9"/>
    <w:rsid w:val="00BD4A18"/>
    <w:rsid w:val="00BD4DA7"/>
    <w:rsid w:val="00BD6DB2"/>
    <w:rsid w:val="00BD73A1"/>
    <w:rsid w:val="00BE11CF"/>
    <w:rsid w:val="00BE21AB"/>
    <w:rsid w:val="00BE2F5A"/>
    <w:rsid w:val="00BE55CB"/>
    <w:rsid w:val="00BE5F3C"/>
    <w:rsid w:val="00BE7067"/>
    <w:rsid w:val="00BF3BB2"/>
    <w:rsid w:val="00BF617A"/>
    <w:rsid w:val="00C000E3"/>
    <w:rsid w:val="00C01187"/>
    <w:rsid w:val="00C0379D"/>
    <w:rsid w:val="00C03931"/>
    <w:rsid w:val="00C04661"/>
    <w:rsid w:val="00C05FE3"/>
    <w:rsid w:val="00C07097"/>
    <w:rsid w:val="00C11DA9"/>
    <w:rsid w:val="00C2136D"/>
    <w:rsid w:val="00C214EE"/>
    <w:rsid w:val="00C2314B"/>
    <w:rsid w:val="00C244A0"/>
    <w:rsid w:val="00C24971"/>
    <w:rsid w:val="00C25355"/>
    <w:rsid w:val="00C26BE5"/>
    <w:rsid w:val="00C26E4D"/>
    <w:rsid w:val="00C27909"/>
    <w:rsid w:val="00C27B03"/>
    <w:rsid w:val="00C30ED6"/>
    <w:rsid w:val="00C314E1"/>
    <w:rsid w:val="00C33631"/>
    <w:rsid w:val="00C34397"/>
    <w:rsid w:val="00C36B2E"/>
    <w:rsid w:val="00C40503"/>
    <w:rsid w:val="00C4095D"/>
    <w:rsid w:val="00C51CD1"/>
    <w:rsid w:val="00C524D8"/>
    <w:rsid w:val="00C5652A"/>
    <w:rsid w:val="00C57218"/>
    <w:rsid w:val="00C57A9C"/>
    <w:rsid w:val="00C601D2"/>
    <w:rsid w:val="00C648B1"/>
    <w:rsid w:val="00C65BCC"/>
    <w:rsid w:val="00C66970"/>
    <w:rsid w:val="00C71F4D"/>
    <w:rsid w:val="00C72639"/>
    <w:rsid w:val="00C73436"/>
    <w:rsid w:val="00C762AA"/>
    <w:rsid w:val="00C86545"/>
    <w:rsid w:val="00C8691C"/>
    <w:rsid w:val="00C86CB4"/>
    <w:rsid w:val="00C910C9"/>
    <w:rsid w:val="00C95480"/>
    <w:rsid w:val="00C96295"/>
    <w:rsid w:val="00C96364"/>
    <w:rsid w:val="00C9682B"/>
    <w:rsid w:val="00CA03DF"/>
    <w:rsid w:val="00CA168A"/>
    <w:rsid w:val="00CA2097"/>
    <w:rsid w:val="00CA357E"/>
    <w:rsid w:val="00CA44F9"/>
    <w:rsid w:val="00CA4A69"/>
    <w:rsid w:val="00CB6E7F"/>
    <w:rsid w:val="00CB722E"/>
    <w:rsid w:val="00CC0690"/>
    <w:rsid w:val="00CC3E0C"/>
    <w:rsid w:val="00CC4948"/>
    <w:rsid w:val="00CC58D3"/>
    <w:rsid w:val="00CC784D"/>
    <w:rsid w:val="00CF1E15"/>
    <w:rsid w:val="00D00A8D"/>
    <w:rsid w:val="00D00BC8"/>
    <w:rsid w:val="00D02DFC"/>
    <w:rsid w:val="00D03268"/>
    <w:rsid w:val="00D0337B"/>
    <w:rsid w:val="00D07777"/>
    <w:rsid w:val="00D079B2"/>
    <w:rsid w:val="00D114E9"/>
    <w:rsid w:val="00D14EBC"/>
    <w:rsid w:val="00D17CD8"/>
    <w:rsid w:val="00D2009A"/>
    <w:rsid w:val="00D234BD"/>
    <w:rsid w:val="00D2527C"/>
    <w:rsid w:val="00D25514"/>
    <w:rsid w:val="00D27B80"/>
    <w:rsid w:val="00D313B3"/>
    <w:rsid w:val="00D35B8E"/>
    <w:rsid w:val="00D36572"/>
    <w:rsid w:val="00D40F07"/>
    <w:rsid w:val="00D429C6"/>
    <w:rsid w:val="00D472BF"/>
    <w:rsid w:val="00D47748"/>
    <w:rsid w:val="00D5178F"/>
    <w:rsid w:val="00D518DF"/>
    <w:rsid w:val="00D54CC3"/>
    <w:rsid w:val="00D56732"/>
    <w:rsid w:val="00D6041A"/>
    <w:rsid w:val="00D61258"/>
    <w:rsid w:val="00D633EB"/>
    <w:rsid w:val="00D67C03"/>
    <w:rsid w:val="00D67DCF"/>
    <w:rsid w:val="00D736AC"/>
    <w:rsid w:val="00D747AA"/>
    <w:rsid w:val="00D75A7E"/>
    <w:rsid w:val="00D763E3"/>
    <w:rsid w:val="00D82FF7"/>
    <w:rsid w:val="00D8358C"/>
    <w:rsid w:val="00D84271"/>
    <w:rsid w:val="00D847FE"/>
    <w:rsid w:val="00D85352"/>
    <w:rsid w:val="00D86B9C"/>
    <w:rsid w:val="00D900CD"/>
    <w:rsid w:val="00D90A39"/>
    <w:rsid w:val="00D91156"/>
    <w:rsid w:val="00D91CEC"/>
    <w:rsid w:val="00D964EA"/>
    <w:rsid w:val="00D96583"/>
    <w:rsid w:val="00D966D0"/>
    <w:rsid w:val="00DA0C59"/>
    <w:rsid w:val="00DA38CB"/>
    <w:rsid w:val="00DA3991"/>
    <w:rsid w:val="00DA72A1"/>
    <w:rsid w:val="00DA7F95"/>
    <w:rsid w:val="00DB01F1"/>
    <w:rsid w:val="00DB3222"/>
    <w:rsid w:val="00DB7E6C"/>
    <w:rsid w:val="00DC4D95"/>
    <w:rsid w:val="00DC4F68"/>
    <w:rsid w:val="00DC64B0"/>
    <w:rsid w:val="00DC6B1E"/>
    <w:rsid w:val="00DD252A"/>
    <w:rsid w:val="00DD41E0"/>
    <w:rsid w:val="00DD5949"/>
    <w:rsid w:val="00DD5A29"/>
    <w:rsid w:val="00DD5D9D"/>
    <w:rsid w:val="00DE1F47"/>
    <w:rsid w:val="00DE35CB"/>
    <w:rsid w:val="00DE5E24"/>
    <w:rsid w:val="00DE6F4D"/>
    <w:rsid w:val="00DE76B7"/>
    <w:rsid w:val="00DF0EF0"/>
    <w:rsid w:val="00DF21E9"/>
    <w:rsid w:val="00DF22C7"/>
    <w:rsid w:val="00DF5588"/>
    <w:rsid w:val="00DF5CC9"/>
    <w:rsid w:val="00E005D3"/>
    <w:rsid w:val="00E00F14"/>
    <w:rsid w:val="00E01CB8"/>
    <w:rsid w:val="00E06386"/>
    <w:rsid w:val="00E075C5"/>
    <w:rsid w:val="00E1051A"/>
    <w:rsid w:val="00E111F3"/>
    <w:rsid w:val="00E11668"/>
    <w:rsid w:val="00E118E7"/>
    <w:rsid w:val="00E11E70"/>
    <w:rsid w:val="00E122B7"/>
    <w:rsid w:val="00E21433"/>
    <w:rsid w:val="00E21B55"/>
    <w:rsid w:val="00E221D3"/>
    <w:rsid w:val="00E24EB4"/>
    <w:rsid w:val="00E253A2"/>
    <w:rsid w:val="00E273EA"/>
    <w:rsid w:val="00E30635"/>
    <w:rsid w:val="00E31B99"/>
    <w:rsid w:val="00E320ED"/>
    <w:rsid w:val="00E33AFB"/>
    <w:rsid w:val="00E34218"/>
    <w:rsid w:val="00E3451F"/>
    <w:rsid w:val="00E4400C"/>
    <w:rsid w:val="00E4555B"/>
    <w:rsid w:val="00E46282"/>
    <w:rsid w:val="00E5216E"/>
    <w:rsid w:val="00E536F3"/>
    <w:rsid w:val="00E54067"/>
    <w:rsid w:val="00E5529C"/>
    <w:rsid w:val="00E657C6"/>
    <w:rsid w:val="00E75D40"/>
    <w:rsid w:val="00E81965"/>
    <w:rsid w:val="00E81A88"/>
    <w:rsid w:val="00E82344"/>
    <w:rsid w:val="00E84C82"/>
    <w:rsid w:val="00E84D64"/>
    <w:rsid w:val="00E87408"/>
    <w:rsid w:val="00E90F5D"/>
    <w:rsid w:val="00E914C4"/>
    <w:rsid w:val="00E92FBF"/>
    <w:rsid w:val="00E934F5"/>
    <w:rsid w:val="00E96961"/>
    <w:rsid w:val="00EA4D0F"/>
    <w:rsid w:val="00EA72EC"/>
    <w:rsid w:val="00EB11CB"/>
    <w:rsid w:val="00EB1C71"/>
    <w:rsid w:val="00EB275A"/>
    <w:rsid w:val="00EB57CA"/>
    <w:rsid w:val="00EB786A"/>
    <w:rsid w:val="00EC1578"/>
    <w:rsid w:val="00EC1BFC"/>
    <w:rsid w:val="00EC1C72"/>
    <w:rsid w:val="00EC3356"/>
    <w:rsid w:val="00EC3CC9"/>
    <w:rsid w:val="00EC49C1"/>
    <w:rsid w:val="00EC5D85"/>
    <w:rsid w:val="00EC680A"/>
    <w:rsid w:val="00ED511C"/>
    <w:rsid w:val="00ED7229"/>
    <w:rsid w:val="00EE10C6"/>
    <w:rsid w:val="00EE10CF"/>
    <w:rsid w:val="00EE25CB"/>
    <w:rsid w:val="00EE2BED"/>
    <w:rsid w:val="00EE374B"/>
    <w:rsid w:val="00EE4A87"/>
    <w:rsid w:val="00EE7359"/>
    <w:rsid w:val="00EE79EC"/>
    <w:rsid w:val="00EF2869"/>
    <w:rsid w:val="00EF3850"/>
    <w:rsid w:val="00EF6655"/>
    <w:rsid w:val="00F035A0"/>
    <w:rsid w:val="00F04063"/>
    <w:rsid w:val="00F05D60"/>
    <w:rsid w:val="00F06E42"/>
    <w:rsid w:val="00F07224"/>
    <w:rsid w:val="00F07FD3"/>
    <w:rsid w:val="00F11BB5"/>
    <w:rsid w:val="00F1296C"/>
    <w:rsid w:val="00F1417B"/>
    <w:rsid w:val="00F1712D"/>
    <w:rsid w:val="00F17A17"/>
    <w:rsid w:val="00F208A0"/>
    <w:rsid w:val="00F2115E"/>
    <w:rsid w:val="00F25865"/>
    <w:rsid w:val="00F27B3D"/>
    <w:rsid w:val="00F30ABD"/>
    <w:rsid w:val="00F312BB"/>
    <w:rsid w:val="00F34B99"/>
    <w:rsid w:val="00F3673E"/>
    <w:rsid w:val="00F40B02"/>
    <w:rsid w:val="00F41E81"/>
    <w:rsid w:val="00F45445"/>
    <w:rsid w:val="00F456F1"/>
    <w:rsid w:val="00F51720"/>
    <w:rsid w:val="00F51CF2"/>
    <w:rsid w:val="00F52DAB"/>
    <w:rsid w:val="00F543F0"/>
    <w:rsid w:val="00F55863"/>
    <w:rsid w:val="00F55E3E"/>
    <w:rsid w:val="00F57601"/>
    <w:rsid w:val="00F61E2B"/>
    <w:rsid w:val="00F620E3"/>
    <w:rsid w:val="00F73F99"/>
    <w:rsid w:val="00F75F80"/>
    <w:rsid w:val="00F81D29"/>
    <w:rsid w:val="00F8354B"/>
    <w:rsid w:val="00F90BE5"/>
    <w:rsid w:val="00F91C4D"/>
    <w:rsid w:val="00F92FD9"/>
    <w:rsid w:val="00F95EDF"/>
    <w:rsid w:val="00FA37B1"/>
    <w:rsid w:val="00FA3E0B"/>
    <w:rsid w:val="00FA40CA"/>
    <w:rsid w:val="00FA5E20"/>
    <w:rsid w:val="00FA5EF7"/>
    <w:rsid w:val="00FA6157"/>
    <w:rsid w:val="00FA6684"/>
    <w:rsid w:val="00FA731E"/>
    <w:rsid w:val="00FA7BD0"/>
    <w:rsid w:val="00FB1095"/>
    <w:rsid w:val="00FB1DCF"/>
    <w:rsid w:val="00FB2B38"/>
    <w:rsid w:val="00FB602F"/>
    <w:rsid w:val="00FB61CE"/>
    <w:rsid w:val="00FB7A07"/>
    <w:rsid w:val="00FC04CC"/>
    <w:rsid w:val="00FC1F65"/>
    <w:rsid w:val="00FC2066"/>
    <w:rsid w:val="00FC6358"/>
    <w:rsid w:val="00FD1381"/>
    <w:rsid w:val="00FD320D"/>
    <w:rsid w:val="00FD522E"/>
    <w:rsid w:val="00FD6CCA"/>
    <w:rsid w:val="00FE1B98"/>
    <w:rsid w:val="00FE23DE"/>
    <w:rsid w:val="00FE653E"/>
    <w:rsid w:val="00FF00F7"/>
    <w:rsid w:val="00FF1801"/>
    <w:rsid w:val="00FF330A"/>
    <w:rsid w:val="00FF4EB3"/>
    <w:rsid w:val="00FF6842"/>
    <w:rsid w:val="00FF7997"/>
    <w:rsid w:val="0462095B"/>
    <w:rsid w:val="06064044"/>
    <w:rsid w:val="0AE172C5"/>
    <w:rsid w:val="0DA81358"/>
    <w:rsid w:val="0F9B0CB4"/>
    <w:rsid w:val="12105979"/>
    <w:rsid w:val="1367270D"/>
    <w:rsid w:val="18613BEC"/>
    <w:rsid w:val="1DF96F3C"/>
    <w:rsid w:val="1FEE3382"/>
    <w:rsid w:val="210C2DC4"/>
    <w:rsid w:val="23203542"/>
    <w:rsid w:val="24DB40E5"/>
    <w:rsid w:val="26604056"/>
    <w:rsid w:val="2AB965D0"/>
    <w:rsid w:val="2BA4230B"/>
    <w:rsid w:val="2F5279B1"/>
    <w:rsid w:val="2FF7F050"/>
    <w:rsid w:val="30355DA3"/>
    <w:rsid w:val="32B23BF6"/>
    <w:rsid w:val="351B18C5"/>
    <w:rsid w:val="37DEDA51"/>
    <w:rsid w:val="395C0D7B"/>
    <w:rsid w:val="3BECBDE1"/>
    <w:rsid w:val="3E6E240E"/>
    <w:rsid w:val="3F8A6C19"/>
    <w:rsid w:val="43D23A86"/>
    <w:rsid w:val="447FE4D8"/>
    <w:rsid w:val="454A56E6"/>
    <w:rsid w:val="47304227"/>
    <w:rsid w:val="47FA7865"/>
    <w:rsid w:val="4AAD1396"/>
    <w:rsid w:val="51F3479F"/>
    <w:rsid w:val="541D3002"/>
    <w:rsid w:val="56E9366F"/>
    <w:rsid w:val="5C0E6DEC"/>
    <w:rsid w:val="5CBD2CAE"/>
    <w:rsid w:val="5D7FF710"/>
    <w:rsid w:val="633F7D7B"/>
    <w:rsid w:val="64BB5976"/>
    <w:rsid w:val="6D53CF38"/>
    <w:rsid w:val="6DE38292"/>
    <w:rsid w:val="6F0301A6"/>
    <w:rsid w:val="6F6979DA"/>
    <w:rsid w:val="6FDF4D32"/>
    <w:rsid w:val="6FFBCA0E"/>
    <w:rsid w:val="6FFFCA1D"/>
    <w:rsid w:val="71CC3287"/>
    <w:rsid w:val="76DB5B60"/>
    <w:rsid w:val="78201875"/>
    <w:rsid w:val="7A5FEC13"/>
    <w:rsid w:val="7A7EB17C"/>
    <w:rsid w:val="7AFFC0AB"/>
    <w:rsid w:val="7DBFCDCC"/>
    <w:rsid w:val="7DEC6AB9"/>
    <w:rsid w:val="7DF935B5"/>
    <w:rsid w:val="7DFAABC2"/>
    <w:rsid w:val="7E417D92"/>
    <w:rsid w:val="7EFD5A6B"/>
    <w:rsid w:val="7FFEDEC1"/>
    <w:rsid w:val="7FFF3434"/>
    <w:rsid w:val="8FEB7C5C"/>
    <w:rsid w:val="AFFB137D"/>
    <w:rsid w:val="BDBE293E"/>
    <w:rsid w:val="BDFF894F"/>
    <w:rsid w:val="CD5BDCB0"/>
    <w:rsid w:val="DE2F0D90"/>
    <w:rsid w:val="DEF34486"/>
    <w:rsid w:val="E2FE4633"/>
    <w:rsid w:val="E779489F"/>
    <w:rsid w:val="EB7F3745"/>
    <w:rsid w:val="EE5B9EAD"/>
    <w:rsid w:val="EF6FCE5B"/>
    <w:rsid w:val="EF9B0240"/>
    <w:rsid w:val="EFF7496A"/>
    <w:rsid w:val="F25FE7F5"/>
    <w:rsid w:val="F3B7AB9D"/>
    <w:rsid w:val="F6EB17C5"/>
    <w:rsid w:val="F7FF0C3A"/>
    <w:rsid w:val="F83308BC"/>
    <w:rsid w:val="FB9F6C02"/>
    <w:rsid w:val="FBE2D01F"/>
    <w:rsid w:val="FDFFF2E5"/>
    <w:rsid w:val="FED9C201"/>
    <w:rsid w:val="FEDFA67A"/>
    <w:rsid w:val="FF9C9AB1"/>
    <w:rsid w:val="FFDF1155"/>
    <w:rsid w:val="FFEE3AD9"/>
    <w:rsid w:val="FFFABB5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iPriority="0" w:name="Normal Indent"/>
    <w:lsdException w:qFormat="1" w:unhideWhenUsed="0" w:uiPriority="0" w:semiHidden="0" w:name="footnote text"/>
    <w:lsdException w:qFormat="1"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name="footnote reference"/>
    <w:lsdException w:qFormat="1" w:uiPriority="0" w:name="annotation reference"/>
    <w:lsdException w:uiPriority="0" w:name="line number"/>
    <w:lsdException w:qFormat="1" w:unhideWhenUsed="0" w:uiPriority="0" w:semiHidden="0" w:name="page number"/>
    <w:lsdException w:qFormat="1" w:unhideWhenUsed="0" w:uiPriority="0" w:name="endnote reference"/>
    <w:lsdException w:qFormat="1" w:unhideWhenUsed="0"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0" w:semiHidden="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5"/>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48"/>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4">
    <w:name w:val="toc 7"/>
    <w:basedOn w:val="1"/>
    <w:next w:val="1"/>
    <w:autoRedefine/>
    <w:semiHidden/>
    <w:qFormat/>
    <w:uiPriority w:val="0"/>
    <w:pPr>
      <w:tabs>
        <w:tab w:val="right" w:leader="dot" w:pos="9241"/>
      </w:tabs>
      <w:ind w:firstLine="505" w:firstLineChars="500"/>
      <w:jc w:val="left"/>
    </w:pPr>
    <w:rPr>
      <w:rFonts w:ascii="宋体"/>
      <w:szCs w:val="21"/>
    </w:rPr>
  </w:style>
  <w:style w:type="paragraph" w:styleId="5">
    <w:name w:val="index 8"/>
    <w:basedOn w:val="1"/>
    <w:next w:val="1"/>
    <w:qFormat/>
    <w:uiPriority w:val="0"/>
    <w:pPr>
      <w:ind w:left="1680" w:hanging="210"/>
      <w:jc w:val="left"/>
    </w:pPr>
    <w:rPr>
      <w:rFonts w:ascii="Calibri" w:hAnsi="Calibri"/>
      <w:sz w:val="20"/>
      <w:szCs w:val="20"/>
    </w:rPr>
  </w:style>
  <w:style w:type="paragraph" w:styleId="6">
    <w:name w:val="caption"/>
    <w:basedOn w:val="1"/>
    <w:next w:val="1"/>
    <w:autoRedefine/>
    <w:qFormat/>
    <w:uiPriority w:val="0"/>
    <w:pPr>
      <w:spacing w:before="152" w:after="160"/>
    </w:pPr>
    <w:rPr>
      <w:rFonts w:ascii="Arial" w:hAnsi="Arial" w:eastAsia="黑体" w:cs="Arial"/>
      <w:sz w:val="20"/>
      <w:szCs w:val="20"/>
    </w:rPr>
  </w:style>
  <w:style w:type="paragraph" w:styleId="7">
    <w:name w:val="index 5"/>
    <w:basedOn w:val="1"/>
    <w:next w:val="1"/>
    <w:qFormat/>
    <w:uiPriority w:val="0"/>
    <w:pPr>
      <w:ind w:left="1050" w:hanging="210"/>
      <w:jc w:val="left"/>
    </w:pPr>
    <w:rPr>
      <w:rFonts w:ascii="Calibri" w:hAnsi="Calibri"/>
      <w:sz w:val="20"/>
      <w:szCs w:val="20"/>
    </w:rPr>
  </w:style>
  <w:style w:type="paragraph" w:styleId="8">
    <w:name w:val="Document Map"/>
    <w:basedOn w:val="1"/>
    <w:autoRedefine/>
    <w:semiHidden/>
    <w:qFormat/>
    <w:uiPriority w:val="0"/>
    <w:pPr>
      <w:shd w:val="clear" w:color="auto" w:fill="000080"/>
    </w:pPr>
  </w:style>
  <w:style w:type="paragraph" w:styleId="9">
    <w:name w:val="annotation text"/>
    <w:basedOn w:val="1"/>
    <w:link w:val="150"/>
    <w:autoRedefine/>
    <w:semiHidden/>
    <w:unhideWhenUsed/>
    <w:qFormat/>
    <w:uiPriority w:val="0"/>
    <w:pPr>
      <w:jc w:val="left"/>
    </w:pPr>
  </w:style>
  <w:style w:type="paragraph" w:styleId="10">
    <w:name w:val="index 6"/>
    <w:basedOn w:val="1"/>
    <w:next w:val="1"/>
    <w:autoRedefine/>
    <w:qFormat/>
    <w:uiPriority w:val="0"/>
    <w:pPr>
      <w:ind w:left="1260" w:hanging="210"/>
      <w:jc w:val="left"/>
    </w:pPr>
    <w:rPr>
      <w:rFonts w:ascii="Calibri" w:hAnsi="Calibri"/>
      <w:sz w:val="20"/>
      <w:szCs w:val="20"/>
    </w:rPr>
  </w:style>
  <w:style w:type="paragraph" w:styleId="11">
    <w:name w:val="index 4"/>
    <w:basedOn w:val="1"/>
    <w:next w:val="1"/>
    <w:autoRedefine/>
    <w:qFormat/>
    <w:uiPriority w:val="0"/>
    <w:pPr>
      <w:ind w:left="840" w:hanging="210"/>
      <w:jc w:val="left"/>
    </w:pPr>
    <w:rPr>
      <w:rFonts w:ascii="Calibri" w:hAnsi="Calibri"/>
      <w:sz w:val="20"/>
      <w:szCs w:val="20"/>
    </w:rPr>
  </w:style>
  <w:style w:type="paragraph" w:styleId="12">
    <w:name w:val="toc 5"/>
    <w:basedOn w:val="1"/>
    <w:next w:val="1"/>
    <w:semiHidden/>
    <w:qFormat/>
    <w:uiPriority w:val="0"/>
    <w:pPr>
      <w:tabs>
        <w:tab w:val="right" w:leader="dot" w:pos="9241"/>
      </w:tabs>
      <w:ind w:firstLine="300" w:firstLineChars="300"/>
      <w:jc w:val="left"/>
    </w:pPr>
    <w:rPr>
      <w:rFonts w:ascii="宋体"/>
      <w:szCs w:val="21"/>
    </w:rPr>
  </w:style>
  <w:style w:type="paragraph" w:styleId="13">
    <w:name w:val="toc 3"/>
    <w:basedOn w:val="1"/>
    <w:next w:val="1"/>
    <w:autoRedefine/>
    <w:qFormat/>
    <w:uiPriority w:val="39"/>
    <w:pPr>
      <w:tabs>
        <w:tab w:val="right" w:leader="dot" w:pos="9241"/>
      </w:tabs>
      <w:ind w:firstLine="102" w:firstLineChars="100"/>
      <w:jc w:val="left"/>
    </w:pPr>
    <w:rPr>
      <w:rFonts w:ascii="宋体"/>
      <w:szCs w:val="21"/>
    </w:rPr>
  </w:style>
  <w:style w:type="paragraph" w:styleId="14">
    <w:name w:val="toc 8"/>
    <w:basedOn w:val="1"/>
    <w:next w:val="1"/>
    <w:autoRedefine/>
    <w:semiHidden/>
    <w:qFormat/>
    <w:uiPriority w:val="0"/>
    <w:pPr>
      <w:tabs>
        <w:tab w:val="right" w:leader="dot" w:pos="9241"/>
      </w:tabs>
      <w:ind w:firstLine="607" w:firstLineChars="600"/>
      <w:jc w:val="left"/>
    </w:pPr>
    <w:rPr>
      <w:rFonts w:ascii="宋体"/>
      <w:szCs w:val="21"/>
    </w:rPr>
  </w:style>
  <w:style w:type="paragraph" w:styleId="15">
    <w:name w:val="index 3"/>
    <w:basedOn w:val="1"/>
    <w:next w:val="1"/>
    <w:qFormat/>
    <w:uiPriority w:val="0"/>
    <w:pPr>
      <w:ind w:left="630" w:hanging="210"/>
      <w:jc w:val="left"/>
    </w:pPr>
    <w:rPr>
      <w:rFonts w:ascii="Calibri" w:hAnsi="Calibri"/>
      <w:sz w:val="20"/>
      <w:szCs w:val="20"/>
    </w:rPr>
  </w:style>
  <w:style w:type="paragraph" w:styleId="16">
    <w:name w:val="endnote text"/>
    <w:basedOn w:val="1"/>
    <w:semiHidden/>
    <w:qFormat/>
    <w:uiPriority w:val="0"/>
    <w:pPr>
      <w:snapToGrid w:val="0"/>
      <w:jc w:val="left"/>
    </w:pPr>
  </w:style>
  <w:style w:type="paragraph" w:styleId="17">
    <w:name w:val="Balloon Text"/>
    <w:basedOn w:val="1"/>
    <w:link w:val="146"/>
    <w:qFormat/>
    <w:uiPriority w:val="0"/>
    <w:rPr>
      <w:sz w:val="18"/>
      <w:szCs w:val="18"/>
    </w:rPr>
  </w:style>
  <w:style w:type="paragraph" w:styleId="18">
    <w:name w:val="footer"/>
    <w:basedOn w:val="1"/>
    <w:qFormat/>
    <w:uiPriority w:val="0"/>
    <w:pPr>
      <w:snapToGrid w:val="0"/>
      <w:ind w:right="210" w:rightChars="100"/>
      <w:jc w:val="right"/>
    </w:pPr>
    <w:rPr>
      <w:sz w:val="18"/>
      <w:szCs w:val="18"/>
    </w:rPr>
  </w:style>
  <w:style w:type="paragraph" w:styleId="19">
    <w:name w:val="header"/>
    <w:basedOn w:val="1"/>
    <w:link w:val="152"/>
    <w:qFormat/>
    <w:uiPriority w:val="0"/>
    <w:pPr>
      <w:snapToGrid w:val="0"/>
      <w:jc w:val="left"/>
    </w:pPr>
    <w:rPr>
      <w:sz w:val="18"/>
      <w:szCs w:val="18"/>
    </w:rPr>
  </w:style>
  <w:style w:type="paragraph" w:styleId="20">
    <w:name w:val="toc 1"/>
    <w:basedOn w:val="1"/>
    <w:next w:val="1"/>
    <w:qFormat/>
    <w:uiPriority w:val="39"/>
    <w:pPr>
      <w:tabs>
        <w:tab w:val="right" w:leader="dot" w:pos="9241"/>
      </w:tabs>
      <w:spacing w:beforeLines="25" w:afterLines="25"/>
      <w:jc w:val="left"/>
    </w:pPr>
    <w:rPr>
      <w:rFonts w:ascii="宋体"/>
      <w:szCs w:val="21"/>
    </w:rPr>
  </w:style>
  <w:style w:type="paragraph" w:styleId="21">
    <w:name w:val="toc 4"/>
    <w:basedOn w:val="1"/>
    <w:next w:val="1"/>
    <w:semiHidden/>
    <w:qFormat/>
    <w:uiPriority w:val="0"/>
    <w:pPr>
      <w:tabs>
        <w:tab w:val="right" w:leader="dot" w:pos="9241"/>
      </w:tabs>
      <w:ind w:firstLine="198" w:firstLineChars="200"/>
      <w:jc w:val="left"/>
    </w:pPr>
    <w:rPr>
      <w:rFonts w:ascii="宋体"/>
      <w:szCs w:val="21"/>
    </w:rPr>
  </w:style>
  <w:style w:type="paragraph" w:styleId="22">
    <w:name w:val="index heading"/>
    <w:basedOn w:val="1"/>
    <w:next w:val="23"/>
    <w:qFormat/>
    <w:uiPriority w:val="0"/>
    <w:pPr>
      <w:spacing w:before="120" w:after="120"/>
      <w:jc w:val="center"/>
    </w:pPr>
    <w:rPr>
      <w:rFonts w:ascii="Calibri" w:hAnsi="Calibri"/>
      <w:b/>
      <w:bCs/>
      <w:iCs/>
      <w:szCs w:val="20"/>
    </w:rPr>
  </w:style>
  <w:style w:type="paragraph" w:styleId="23">
    <w:name w:val="index 1"/>
    <w:basedOn w:val="1"/>
    <w:next w:val="24"/>
    <w:qFormat/>
    <w:uiPriority w:val="0"/>
    <w:pPr>
      <w:tabs>
        <w:tab w:val="right" w:leader="dot" w:pos="9299"/>
      </w:tabs>
      <w:jc w:val="left"/>
    </w:pPr>
    <w:rPr>
      <w:rFonts w:ascii="宋体"/>
      <w:szCs w:val="21"/>
    </w:rPr>
  </w:style>
  <w:style w:type="paragraph" w:customStyle="1" w:styleId="24">
    <w:name w:val="段"/>
    <w:link w:val="70"/>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styleId="25">
    <w:name w:val="footnote text"/>
    <w:basedOn w:val="1"/>
    <w:qFormat/>
    <w:uiPriority w:val="0"/>
    <w:pPr>
      <w:numPr>
        <w:ilvl w:val="0"/>
        <w:numId w:val="1"/>
      </w:numPr>
      <w:snapToGrid w:val="0"/>
      <w:jc w:val="left"/>
    </w:pPr>
    <w:rPr>
      <w:rFonts w:ascii="宋体"/>
      <w:sz w:val="18"/>
      <w:szCs w:val="18"/>
    </w:rPr>
  </w:style>
  <w:style w:type="paragraph" w:styleId="26">
    <w:name w:val="toc 6"/>
    <w:basedOn w:val="1"/>
    <w:next w:val="1"/>
    <w:semiHidden/>
    <w:qFormat/>
    <w:uiPriority w:val="0"/>
    <w:pPr>
      <w:tabs>
        <w:tab w:val="right" w:leader="dot" w:pos="9241"/>
      </w:tabs>
      <w:ind w:firstLine="403" w:firstLineChars="400"/>
      <w:jc w:val="left"/>
    </w:pPr>
    <w:rPr>
      <w:rFonts w:ascii="宋体"/>
      <w:szCs w:val="21"/>
    </w:rPr>
  </w:style>
  <w:style w:type="paragraph" w:styleId="27">
    <w:name w:val="index 7"/>
    <w:basedOn w:val="1"/>
    <w:next w:val="1"/>
    <w:qFormat/>
    <w:uiPriority w:val="0"/>
    <w:pPr>
      <w:ind w:left="1470" w:hanging="210"/>
      <w:jc w:val="left"/>
    </w:pPr>
    <w:rPr>
      <w:rFonts w:ascii="Calibri" w:hAnsi="Calibri"/>
      <w:sz w:val="20"/>
      <w:szCs w:val="20"/>
    </w:rPr>
  </w:style>
  <w:style w:type="paragraph" w:styleId="28">
    <w:name w:val="index 9"/>
    <w:basedOn w:val="1"/>
    <w:next w:val="1"/>
    <w:qFormat/>
    <w:uiPriority w:val="0"/>
    <w:pPr>
      <w:ind w:left="1890" w:hanging="210"/>
      <w:jc w:val="left"/>
    </w:pPr>
    <w:rPr>
      <w:rFonts w:ascii="Calibri" w:hAnsi="Calibri"/>
      <w:sz w:val="20"/>
      <w:szCs w:val="20"/>
    </w:rPr>
  </w:style>
  <w:style w:type="paragraph" w:styleId="29">
    <w:name w:val="toc 2"/>
    <w:basedOn w:val="1"/>
    <w:next w:val="1"/>
    <w:qFormat/>
    <w:uiPriority w:val="39"/>
    <w:pPr>
      <w:tabs>
        <w:tab w:val="right" w:leader="dot" w:pos="9241"/>
      </w:tabs>
    </w:pPr>
    <w:rPr>
      <w:rFonts w:ascii="宋体"/>
      <w:szCs w:val="21"/>
    </w:rPr>
  </w:style>
  <w:style w:type="paragraph" w:styleId="30">
    <w:name w:val="toc 9"/>
    <w:basedOn w:val="1"/>
    <w:next w:val="1"/>
    <w:semiHidden/>
    <w:qFormat/>
    <w:uiPriority w:val="0"/>
    <w:pPr>
      <w:ind w:left="1470"/>
      <w:jc w:val="left"/>
    </w:pPr>
    <w:rPr>
      <w:sz w:val="20"/>
      <w:szCs w:val="20"/>
    </w:rPr>
  </w:style>
  <w:style w:type="paragraph" w:styleId="31">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32">
    <w:name w:val="index 2"/>
    <w:basedOn w:val="1"/>
    <w:next w:val="1"/>
    <w:qFormat/>
    <w:uiPriority w:val="0"/>
    <w:pPr>
      <w:ind w:left="420" w:hanging="210"/>
      <w:jc w:val="left"/>
    </w:pPr>
    <w:rPr>
      <w:rFonts w:ascii="Calibri" w:hAnsi="Calibri"/>
      <w:sz w:val="20"/>
      <w:szCs w:val="20"/>
    </w:rPr>
  </w:style>
  <w:style w:type="paragraph" w:styleId="33">
    <w:name w:val="annotation subject"/>
    <w:basedOn w:val="9"/>
    <w:next w:val="9"/>
    <w:link w:val="151"/>
    <w:semiHidden/>
    <w:unhideWhenUsed/>
    <w:qFormat/>
    <w:uiPriority w:val="0"/>
    <w:rPr>
      <w:b/>
      <w:bCs/>
    </w:rPr>
  </w:style>
  <w:style w:type="table" w:styleId="35">
    <w:name w:val="Table Grid"/>
    <w:basedOn w:val="34"/>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7">
    <w:name w:val="Strong"/>
    <w:basedOn w:val="36"/>
    <w:qFormat/>
    <w:uiPriority w:val="0"/>
    <w:rPr>
      <w:b/>
    </w:rPr>
  </w:style>
  <w:style w:type="character" w:styleId="38">
    <w:name w:val="endnote reference"/>
    <w:semiHidden/>
    <w:qFormat/>
    <w:uiPriority w:val="0"/>
    <w:rPr>
      <w:vertAlign w:val="superscript"/>
    </w:rPr>
  </w:style>
  <w:style w:type="character" w:styleId="39">
    <w:name w:val="page number"/>
    <w:qFormat/>
    <w:uiPriority w:val="0"/>
    <w:rPr>
      <w:rFonts w:ascii="Times New Roman" w:hAnsi="Times New Roman" w:eastAsia="宋体"/>
      <w:sz w:val="18"/>
    </w:rPr>
  </w:style>
  <w:style w:type="character" w:styleId="40">
    <w:name w:val="FollowedHyperlink"/>
    <w:qFormat/>
    <w:uiPriority w:val="0"/>
    <w:rPr>
      <w:color w:val="800080"/>
      <w:u w:val="single"/>
    </w:rPr>
  </w:style>
  <w:style w:type="character" w:styleId="41">
    <w:name w:val="Emphasis"/>
    <w:basedOn w:val="36"/>
    <w:qFormat/>
    <w:uiPriority w:val="20"/>
    <w:rPr>
      <w:i/>
      <w:iCs/>
    </w:rPr>
  </w:style>
  <w:style w:type="character" w:styleId="42">
    <w:name w:val="Hyperlink"/>
    <w:qFormat/>
    <w:uiPriority w:val="99"/>
    <w:rPr>
      <w:color w:val="0000FF"/>
      <w:spacing w:val="0"/>
      <w:w w:val="100"/>
      <w:szCs w:val="21"/>
      <w:u w:val="single"/>
    </w:rPr>
  </w:style>
  <w:style w:type="character" w:styleId="43">
    <w:name w:val="annotation reference"/>
    <w:basedOn w:val="36"/>
    <w:semiHidden/>
    <w:unhideWhenUsed/>
    <w:qFormat/>
    <w:uiPriority w:val="0"/>
    <w:rPr>
      <w:sz w:val="21"/>
      <w:szCs w:val="21"/>
    </w:rPr>
  </w:style>
  <w:style w:type="character" w:styleId="44">
    <w:name w:val="footnote reference"/>
    <w:semiHidden/>
    <w:qFormat/>
    <w:uiPriority w:val="0"/>
    <w:rPr>
      <w:vertAlign w:val="superscript"/>
    </w:rPr>
  </w:style>
  <w:style w:type="character" w:customStyle="1" w:styleId="45">
    <w:name w:val="标题 1 字符"/>
    <w:basedOn w:val="36"/>
    <w:link w:val="2"/>
    <w:qFormat/>
    <w:uiPriority w:val="0"/>
    <w:rPr>
      <w:b/>
      <w:bCs/>
      <w:kern w:val="44"/>
      <w:sz w:val="44"/>
      <w:szCs w:val="44"/>
    </w:rPr>
  </w:style>
  <w:style w:type="paragraph" w:customStyle="1" w:styleId="46">
    <w:name w:val="封面标准文稿类别"/>
    <w:basedOn w:val="47"/>
    <w:qFormat/>
    <w:uiPriority w:val="0"/>
    <w:pPr>
      <w:framePr w:wrap="around"/>
      <w:spacing w:after="160" w:line="240" w:lineRule="auto"/>
    </w:pPr>
    <w:rPr>
      <w:sz w:val="24"/>
    </w:rPr>
  </w:style>
  <w:style w:type="paragraph" w:customStyle="1" w:styleId="47">
    <w:name w:val="封面一致性程度标识"/>
    <w:basedOn w:val="48"/>
    <w:qFormat/>
    <w:uiPriority w:val="0"/>
    <w:pPr>
      <w:framePr w:wrap="around"/>
      <w:spacing w:before="440"/>
    </w:pPr>
    <w:rPr>
      <w:rFonts w:ascii="宋体" w:eastAsia="宋体"/>
    </w:rPr>
  </w:style>
  <w:style w:type="paragraph" w:customStyle="1" w:styleId="48">
    <w:name w:val="封面标准英文名称"/>
    <w:basedOn w:val="49"/>
    <w:qFormat/>
    <w:uiPriority w:val="0"/>
    <w:pPr>
      <w:framePr w:wrap="around"/>
      <w:spacing w:before="370" w:line="400" w:lineRule="exact"/>
    </w:pPr>
    <w:rPr>
      <w:rFonts w:ascii="Times New Roman"/>
      <w:sz w:val="28"/>
      <w:szCs w:val="28"/>
    </w:rPr>
  </w:style>
  <w:style w:type="paragraph" w:customStyle="1" w:styleId="49">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50">
    <w:name w:val="一级条标题"/>
    <w:next w:val="24"/>
    <w:qFormat/>
    <w:uiPriority w:val="0"/>
    <w:pPr>
      <w:numPr>
        <w:ilvl w:val="1"/>
        <w:numId w:val="2"/>
      </w:numPr>
      <w:spacing w:beforeLines="50" w:afterLines="50"/>
      <w:outlineLvl w:val="2"/>
    </w:pPr>
    <w:rPr>
      <w:rFonts w:ascii="黑体" w:hAnsi="Times New Roman" w:eastAsia="黑体" w:cs="Times New Roman"/>
      <w:sz w:val="21"/>
      <w:szCs w:val="21"/>
      <w:lang w:val="en-US" w:eastAsia="zh-CN" w:bidi="ar-SA"/>
    </w:rPr>
  </w:style>
  <w:style w:type="paragraph" w:customStyle="1" w:styleId="51">
    <w:name w:val="章标题"/>
    <w:next w:val="24"/>
    <w:qFormat/>
    <w:uiPriority w:val="0"/>
    <w:pPr>
      <w:numPr>
        <w:ilvl w:val="0"/>
        <w:numId w:val="2"/>
      </w:numPr>
      <w:spacing w:beforeLines="100" w:afterLines="100"/>
      <w:jc w:val="both"/>
      <w:outlineLvl w:val="1"/>
    </w:pPr>
    <w:rPr>
      <w:rFonts w:ascii="黑体" w:hAnsi="Times New Roman" w:eastAsia="黑体" w:cs="Times New Roman"/>
      <w:sz w:val="21"/>
      <w:lang w:val="en-US" w:eastAsia="zh-CN" w:bidi="ar-SA"/>
    </w:rPr>
  </w:style>
  <w:style w:type="paragraph" w:customStyle="1" w:styleId="52">
    <w:name w:val="二级条标题"/>
    <w:basedOn w:val="50"/>
    <w:next w:val="24"/>
    <w:qFormat/>
    <w:uiPriority w:val="0"/>
    <w:pPr>
      <w:numPr>
        <w:ilvl w:val="2"/>
      </w:numPr>
      <w:spacing w:before="50" w:after="50"/>
      <w:outlineLvl w:val="3"/>
    </w:pPr>
  </w:style>
  <w:style w:type="paragraph" w:customStyle="1" w:styleId="53">
    <w:name w:val="三级条标题"/>
    <w:basedOn w:val="52"/>
    <w:next w:val="24"/>
    <w:qFormat/>
    <w:uiPriority w:val="0"/>
    <w:pPr>
      <w:numPr>
        <w:ilvl w:val="3"/>
      </w:numPr>
      <w:outlineLvl w:val="4"/>
    </w:pPr>
  </w:style>
  <w:style w:type="paragraph" w:customStyle="1" w:styleId="54">
    <w:name w:val="四级条标题"/>
    <w:basedOn w:val="53"/>
    <w:next w:val="24"/>
    <w:qFormat/>
    <w:uiPriority w:val="0"/>
    <w:pPr>
      <w:numPr>
        <w:ilvl w:val="4"/>
      </w:numPr>
      <w:outlineLvl w:val="5"/>
    </w:pPr>
  </w:style>
  <w:style w:type="paragraph" w:customStyle="1" w:styleId="55">
    <w:name w:val="五级条标题"/>
    <w:basedOn w:val="54"/>
    <w:next w:val="24"/>
    <w:qFormat/>
    <w:uiPriority w:val="0"/>
    <w:pPr>
      <w:numPr>
        <w:ilvl w:val="5"/>
      </w:numPr>
      <w:outlineLvl w:val="6"/>
    </w:pPr>
  </w:style>
  <w:style w:type="paragraph" w:customStyle="1" w:styleId="56">
    <w:name w:val="前言、引言标题"/>
    <w:next w:val="24"/>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57">
    <w:name w:val="二级无"/>
    <w:basedOn w:val="52"/>
    <w:qFormat/>
    <w:uiPriority w:val="0"/>
    <w:pPr>
      <w:spacing w:beforeLines="0" w:afterLines="0"/>
    </w:pPr>
    <w:rPr>
      <w:rFonts w:ascii="宋体" w:eastAsia="宋体"/>
    </w:rPr>
  </w:style>
  <w:style w:type="paragraph" w:customStyle="1" w:styleId="58">
    <w:name w:val="三级无"/>
    <w:basedOn w:val="53"/>
    <w:qFormat/>
    <w:uiPriority w:val="0"/>
    <w:pPr>
      <w:spacing w:beforeLines="0" w:afterLines="0"/>
    </w:pPr>
    <w:rPr>
      <w:rFonts w:ascii="宋体" w:eastAsia="宋体"/>
    </w:rPr>
  </w:style>
  <w:style w:type="paragraph" w:customStyle="1" w:styleId="59">
    <w:name w:val="一级无"/>
    <w:basedOn w:val="50"/>
    <w:qFormat/>
    <w:uiPriority w:val="0"/>
    <w:pPr>
      <w:spacing w:beforeLines="0" w:afterLines="0"/>
    </w:pPr>
    <w:rPr>
      <w:rFonts w:ascii="宋体" w:eastAsia="宋体"/>
    </w:rPr>
  </w:style>
  <w:style w:type="paragraph" w:customStyle="1" w:styleId="60">
    <w:name w:val="数字编号列项（二级）"/>
    <w:qFormat/>
    <w:uiPriority w:val="0"/>
    <w:pPr>
      <w:numPr>
        <w:ilvl w:val="1"/>
        <w:numId w:val="3"/>
      </w:numPr>
      <w:jc w:val="both"/>
    </w:pPr>
    <w:rPr>
      <w:rFonts w:ascii="宋体" w:hAnsi="Times New Roman" w:eastAsia="宋体" w:cs="Times New Roman"/>
      <w:sz w:val="21"/>
      <w:lang w:val="en-US" w:eastAsia="zh-CN" w:bidi="ar-SA"/>
    </w:rPr>
  </w:style>
  <w:style w:type="paragraph" w:customStyle="1" w:styleId="61">
    <w:name w:val="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62">
    <w:name w:val="编号列项（三级）"/>
    <w:qFormat/>
    <w:uiPriority w:val="0"/>
    <w:pPr>
      <w:numPr>
        <w:ilvl w:val="2"/>
        <w:numId w:val="3"/>
      </w:numPr>
      <w:tabs>
        <w:tab w:val="left" w:pos="0"/>
      </w:tabs>
    </w:pPr>
    <w:rPr>
      <w:rFonts w:ascii="宋体" w:hAnsi="Times New Roman" w:eastAsia="宋体" w:cs="Times New Roman"/>
      <w:sz w:val="21"/>
      <w:lang w:val="en-US" w:eastAsia="zh-CN" w:bidi="ar-SA"/>
    </w:rPr>
  </w:style>
  <w:style w:type="paragraph" w:customStyle="1" w:styleId="63">
    <w:name w:val="附录标识"/>
    <w:basedOn w:val="1"/>
    <w:next w:val="24"/>
    <w:qFormat/>
    <w:uiPriority w:val="0"/>
    <w:pPr>
      <w:keepNext/>
      <w:pageBreakBefore/>
      <w:widowControl/>
      <w:numPr>
        <w:ilvl w:val="0"/>
        <w:numId w:val="4"/>
      </w:numPr>
      <w:shd w:val="clear" w:color="FFFFFF" w:fill="FFFFFF"/>
      <w:tabs>
        <w:tab w:val="left" w:pos="360"/>
        <w:tab w:val="left" w:pos="6405"/>
      </w:tabs>
      <w:spacing w:before="640"/>
      <w:jc w:val="center"/>
      <w:outlineLvl w:val="0"/>
    </w:pPr>
    <w:rPr>
      <w:rFonts w:ascii="Songti SC Black" w:hAnsi="Songti SC Black" w:eastAsia="Songti SC Black"/>
      <w:kern w:val="0"/>
      <w:szCs w:val="20"/>
    </w:rPr>
  </w:style>
  <w:style w:type="paragraph" w:customStyle="1" w:styleId="64">
    <w:name w:val="附录章标题"/>
    <w:next w:val="24"/>
    <w:qFormat/>
    <w:uiPriority w:val="0"/>
    <w:pPr>
      <w:numPr>
        <w:ilvl w:val="1"/>
        <w:numId w:val="4"/>
      </w:numPr>
      <w:tabs>
        <w:tab w:val="left" w:pos="360"/>
      </w:tabs>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65">
    <w:name w:val="附录一级条标题"/>
    <w:basedOn w:val="64"/>
    <w:next w:val="24"/>
    <w:qFormat/>
    <w:uiPriority w:val="0"/>
    <w:pPr>
      <w:numPr>
        <w:ilvl w:val="2"/>
      </w:numPr>
      <w:autoSpaceDN w:val="0"/>
      <w:spacing w:beforeLines="50" w:afterLines="50"/>
      <w:outlineLvl w:val="2"/>
    </w:pPr>
  </w:style>
  <w:style w:type="paragraph" w:customStyle="1" w:styleId="66">
    <w:name w:val="附录二级条标题"/>
    <w:basedOn w:val="1"/>
    <w:next w:val="24"/>
    <w:qFormat/>
    <w:uiPriority w:val="0"/>
    <w:pPr>
      <w:widowControl/>
      <w:numPr>
        <w:ilvl w:val="3"/>
        <w:numId w:val="4"/>
      </w:numPr>
      <w:tabs>
        <w:tab w:val="left"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67">
    <w:name w:val="附录三级条标题"/>
    <w:basedOn w:val="66"/>
    <w:next w:val="24"/>
    <w:qFormat/>
    <w:uiPriority w:val="0"/>
    <w:pPr>
      <w:numPr>
        <w:ilvl w:val="4"/>
      </w:numPr>
      <w:outlineLvl w:val="4"/>
    </w:pPr>
  </w:style>
  <w:style w:type="paragraph" w:customStyle="1" w:styleId="68">
    <w:name w:val="附录四级条标题"/>
    <w:basedOn w:val="67"/>
    <w:next w:val="24"/>
    <w:qFormat/>
    <w:uiPriority w:val="0"/>
    <w:pPr>
      <w:numPr>
        <w:ilvl w:val="5"/>
      </w:numPr>
      <w:outlineLvl w:val="5"/>
    </w:pPr>
  </w:style>
  <w:style w:type="paragraph" w:customStyle="1" w:styleId="69">
    <w:name w:val="附录五级条标题"/>
    <w:basedOn w:val="68"/>
    <w:next w:val="24"/>
    <w:qFormat/>
    <w:uiPriority w:val="0"/>
    <w:pPr>
      <w:numPr>
        <w:ilvl w:val="6"/>
      </w:numPr>
      <w:outlineLvl w:val="6"/>
    </w:pPr>
  </w:style>
  <w:style w:type="character" w:customStyle="1" w:styleId="70">
    <w:name w:val="段 Char"/>
    <w:link w:val="24"/>
    <w:qFormat/>
    <w:uiPriority w:val="0"/>
    <w:rPr>
      <w:rFonts w:ascii="宋体"/>
      <w:sz w:val="21"/>
      <w:lang w:val="en-US" w:eastAsia="zh-CN" w:bidi="ar-SA"/>
    </w:rPr>
  </w:style>
  <w:style w:type="paragraph" w:customStyle="1" w:styleId="71">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72">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73">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74">
    <w:name w:val="列项——（一级）"/>
    <w:autoRedefine/>
    <w:qFormat/>
    <w:uiPriority w:val="0"/>
    <w:pPr>
      <w:widowControl w:val="0"/>
      <w:numPr>
        <w:ilvl w:val="0"/>
        <w:numId w:val="5"/>
      </w:numPr>
      <w:jc w:val="both"/>
    </w:pPr>
    <w:rPr>
      <w:rFonts w:ascii="宋体" w:hAnsi="Times New Roman" w:eastAsia="宋体" w:cs="Times New Roman"/>
      <w:sz w:val="21"/>
      <w:lang w:val="en-US" w:eastAsia="zh-CN" w:bidi="ar-SA"/>
    </w:rPr>
  </w:style>
  <w:style w:type="paragraph" w:customStyle="1" w:styleId="75">
    <w:name w:val="列项●（二级）"/>
    <w:qFormat/>
    <w:uiPriority w:val="0"/>
    <w:pPr>
      <w:numPr>
        <w:ilvl w:val="1"/>
        <w:numId w:val="5"/>
      </w:numPr>
      <w:tabs>
        <w:tab w:val="left" w:pos="840"/>
      </w:tabs>
      <w:jc w:val="both"/>
    </w:pPr>
    <w:rPr>
      <w:rFonts w:ascii="宋体" w:hAnsi="Times New Roman" w:eastAsia="宋体" w:cs="Times New Roman"/>
      <w:sz w:val="21"/>
      <w:lang w:val="en-US" w:eastAsia="zh-CN" w:bidi="ar-SA"/>
    </w:rPr>
  </w:style>
  <w:style w:type="paragraph" w:customStyle="1" w:styleId="76">
    <w:name w:val="目次、标准名称标题"/>
    <w:basedOn w:val="1"/>
    <w:next w:val="24"/>
    <w:link w:val="144"/>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77">
    <w:name w:val="示例"/>
    <w:next w:val="78"/>
    <w:qFormat/>
    <w:uiPriority w:val="0"/>
    <w:pPr>
      <w:widowControl w:val="0"/>
      <w:numPr>
        <w:ilvl w:val="0"/>
        <w:numId w:val="6"/>
      </w:numPr>
      <w:jc w:val="both"/>
    </w:pPr>
    <w:rPr>
      <w:rFonts w:ascii="宋体" w:hAnsi="Times New Roman" w:eastAsia="宋体" w:cs="Times New Roman"/>
      <w:sz w:val="18"/>
      <w:szCs w:val="18"/>
      <w:lang w:val="en-US" w:eastAsia="zh-CN" w:bidi="ar-SA"/>
    </w:rPr>
  </w:style>
  <w:style w:type="paragraph" w:customStyle="1" w:styleId="78">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79">
    <w:name w:val="注："/>
    <w:next w:val="24"/>
    <w:qFormat/>
    <w:uiPriority w:val="0"/>
    <w:pPr>
      <w:widowControl w:val="0"/>
      <w:numPr>
        <w:ilvl w:val="0"/>
        <w:numId w:val="7"/>
      </w:numPr>
      <w:autoSpaceDE w:val="0"/>
      <w:autoSpaceDN w:val="0"/>
      <w:ind w:left="726" w:hanging="363"/>
      <w:jc w:val="both"/>
    </w:pPr>
    <w:rPr>
      <w:rFonts w:ascii="宋体" w:hAnsi="Times New Roman" w:eastAsia="宋体" w:cs="Times New Roman"/>
      <w:sz w:val="18"/>
      <w:szCs w:val="18"/>
      <w:lang w:val="en-US" w:eastAsia="zh-CN" w:bidi="ar-SA"/>
    </w:rPr>
  </w:style>
  <w:style w:type="paragraph" w:customStyle="1" w:styleId="80">
    <w:name w:val="注×："/>
    <w:qFormat/>
    <w:uiPriority w:val="0"/>
    <w:pPr>
      <w:widowControl w:val="0"/>
      <w:numPr>
        <w:ilvl w:val="0"/>
        <w:numId w:val="8"/>
      </w:numPr>
      <w:autoSpaceDE w:val="0"/>
      <w:autoSpaceDN w:val="0"/>
      <w:ind w:left="811" w:hanging="448"/>
      <w:jc w:val="both"/>
    </w:pPr>
    <w:rPr>
      <w:rFonts w:ascii="宋体" w:hAnsi="Times New Roman" w:eastAsia="宋体" w:cs="Times New Roman"/>
      <w:sz w:val="18"/>
      <w:szCs w:val="18"/>
      <w:lang w:val="en-US" w:eastAsia="zh-CN" w:bidi="ar-SA"/>
    </w:rPr>
  </w:style>
  <w:style w:type="paragraph" w:customStyle="1" w:styleId="81">
    <w:name w:val="列项◆（三级）"/>
    <w:basedOn w:val="1"/>
    <w:qFormat/>
    <w:uiPriority w:val="0"/>
    <w:pPr>
      <w:numPr>
        <w:ilvl w:val="2"/>
        <w:numId w:val="5"/>
      </w:numPr>
    </w:pPr>
    <w:rPr>
      <w:rFonts w:ascii="宋体"/>
      <w:szCs w:val="21"/>
    </w:rPr>
  </w:style>
  <w:style w:type="paragraph" w:customStyle="1" w:styleId="82">
    <w:name w:val="示例×："/>
    <w:basedOn w:val="51"/>
    <w:qFormat/>
    <w:uiPriority w:val="0"/>
    <w:pPr>
      <w:numPr>
        <w:numId w:val="9"/>
      </w:numPr>
      <w:spacing w:beforeLines="0" w:afterLines="0"/>
      <w:outlineLvl w:val="9"/>
    </w:pPr>
    <w:rPr>
      <w:rFonts w:ascii="宋体" w:eastAsia="宋体"/>
      <w:sz w:val="18"/>
      <w:szCs w:val="18"/>
    </w:rPr>
  </w:style>
  <w:style w:type="paragraph" w:customStyle="1" w:styleId="83">
    <w:name w:val="注：（正文）"/>
    <w:basedOn w:val="79"/>
    <w:next w:val="24"/>
    <w:qFormat/>
    <w:uiPriority w:val="0"/>
    <w:pPr>
      <w:numPr>
        <w:numId w:val="10"/>
      </w:numPr>
      <w:ind w:left="726" w:hanging="363"/>
    </w:pPr>
  </w:style>
  <w:style w:type="paragraph" w:customStyle="1" w:styleId="84">
    <w:name w:val="注×：（正文）"/>
    <w:qFormat/>
    <w:uiPriority w:val="0"/>
    <w:pPr>
      <w:numPr>
        <w:ilvl w:val="0"/>
        <w:numId w:val="11"/>
      </w:numPr>
      <w:ind w:left="811" w:hanging="448"/>
      <w:jc w:val="both"/>
    </w:pPr>
    <w:rPr>
      <w:rFonts w:ascii="宋体" w:hAnsi="Times New Roman" w:eastAsia="宋体" w:cs="Times New Roman"/>
      <w:sz w:val="18"/>
      <w:szCs w:val="18"/>
      <w:lang w:val="en-US" w:eastAsia="zh-CN" w:bidi="ar-SA"/>
    </w:rPr>
  </w:style>
  <w:style w:type="paragraph" w:customStyle="1" w:styleId="85">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86">
    <w:name w:val="标准称谓"/>
    <w:next w:val="1"/>
    <w:qFormat/>
    <w:uiPriority w:val="0"/>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48"/>
      <w:lang w:val="en-US" w:eastAsia="zh-CN" w:bidi="ar-SA"/>
    </w:rPr>
  </w:style>
  <w:style w:type="paragraph" w:customStyle="1" w:styleId="87">
    <w:name w:val="标准书脚_偶数页"/>
    <w:qFormat/>
    <w:uiPriority w:val="0"/>
    <w:pPr>
      <w:spacing w:before="120"/>
      <w:ind w:left="221"/>
    </w:pPr>
    <w:rPr>
      <w:rFonts w:ascii="宋体" w:hAnsi="Times New Roman" w:eastAsia="宋体" w:cs="Times New Roman"/>
      <w:sz w:val="18"/>
      <w:szCs w:val="18"/>
      <w:lang w:val="en-US" w:eastAsia="zh-CN" w:bidi="ar-SA"/>
    </w:rPr>
  </w:style>
  <w:style w:type="paragraph" w:customStyle="1" w:styleId="88">
    <w:name w:val="标准书眉_偶数页"/>
    <w:basedOn w:val="72"/>
    <w:next w:val="1"/>
    <w:autoRedefine/>
    <w:qFormat/>
    <w:uiPriority w:val="0"/>
    <w:pPr>
      <w:jc w:val="left"/>
    </w:pPr>
    <w:rPr>
      <w:rFonts w:hAnsi="黑体"/>
    </w:rPr>
  </w:style>
  <w:style w:type="paragraph" w:customStyle="1" w:styleId="89">
    <w:name w:val="标准书眉一"/>
    <w:autoRedefine/>
    <w:qFormat/>
    <w:uiPriority w:val="0"/>
    <w:pPr>
      <w:jc w:val="both"/>
    </w:pPr>
    <w:rPr>
      <w:rFonts w:ascii="Times New Roman" w:hAnsi="Times New Roman" w:eastAsia="宋体" w:cs="Times New Roman"/>
      <w:lang w:val="en-US" w:eastAsia="zh-CN" w:bidi="ar-SA"/>
    </w:rPr>
  </w:style>
  <w:style w:type="paragraph" w:customStyle="1" w:styleId="90">
    <w:name w:val="参考文献"/>
    <w:basedOn w:val="1"/>
    <w:next w:val="24"/>
    <w:qFormat/>
    <w:uiPriority w:val="0"/>
    <w:pPr>
      <w:keepNext/>
      <w:widowControl/>
      <w:numPr>
        <w:ilvl w:val="0"/>
        <w:numId w:val="12"/>
      </w:numPr>
      <w:shd w:val="clear" w:color="FFFFFF" w:fill="FFFFFF"/>
      <w:spacing w:line="240" w:lineRule="atLeast"/>
      <w:ind w:firstLine="200" w:firstLineChars="200"/>
      <w:jc w:val="left"/>
      <w:outlineLvl w:val="0"/>
    </w:pPr>
    <w:rPr>
      <w:rFonts w:ascii="黑体" w:hAnsi="黑体" w:eastAsia="黑体"/>
      <w:kern w:val="0"/>
      <w:szCs w:val="20"/>
    </w:rPr>
  </w:style>
  <w:style w:type="paragraph" w:customStyle="1" w:styleId="91">
    <w:name w:val="参考文献、索引标题"/>
    <w:basedOn w:val="1"/>
    <w:next w:val="24"/>
    <w:qFormat/>
    <w:uiPriority w:val="0"/>
    <w:pPr>
      <w:keepNext/>
      <w:pageBreakBefore/>
      <w:widowControl/>
      <w:shd w:val="clear" w:color="FFFFFF" w:fill="FFFFFF"/>
      <w:spacing w:before="640" w:after="200"/>
      <w:jc w:val="center"/>
      <w:outlineLvl w:val="0"/>
    </w:pPr>
    <w:rPr>
      <w:rFonts w:ascii="黑体" w:eastAsia="黑体"/>
      <w:kern w:val="0"/>
      <w:szCs w:val="20"/>
    </w:rPr>
  </w:style>
  <w:style w:type="character" w:customStyle="1" w:styleId="92">
    <w:name w:val="发布"/>
    <w:qFormat/>
    <w:uiPriority w:val="0"/>
    <w:rPr>
      <w:rFonts w:ascii="黑体" w:eastAsia="黑体"/>
      <w:spacing w:val="85"/>
      <w:w w:val="100"/>
      <w:position w:val="3"/>
      <w:sz w:val="28"/>
      <w:szCs w:val="28"/>
    </w:rPr>
  </w:style>
  <w:style w:type="paragraph" w:customStyle="1" w:styleId="93">
    <w:name w:val="发布部门"/>
    <w:next w:val="24"/>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94">
    <w:name w:val="发布日期"/>
    <w:qFormat/>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95">
    <w:name w:val="封面标准代替信息"/>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96">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97">
    <w:name w:val="封面标准文稿编辑信息"/>
    <w:basedOn w:val="46"/>
    <w:qFormat/>
    <w:uiPriority w:val="0"/>
    <w:pPr>
      <w:framePr w:wrap="around"/>
      <w:spacing w:before="180" w:line="180" w:lineRule="exact"/>
    </w:pPr>
    <w:rPr>
      <w:sz w:val="21"/>
    </w:rPr>
  </w:style>
  <w:style w:type="paragraph" w:customStyle="1" w:styleId="98">
    <w:name w:val="封面正文"/>
    <w:qFormat/>
    <w:uiPriority w:val="0"/>
    <w:pPr>
      <w:jc w:val="both"/>
    </w:pPr>
    <w:rPr>
      <w:rFonts w:ascii="Times New Roman" w:hAnsi="Times New Roman" w:eastAsia="宋体" w:cs="Times New Roman"/>
      <w:lang w:val="en-US" w:eastAsia="zh-CN" w:bidi="ar-SA"/>
    </w:rPr>
  </w:style>
  <w:style w:type="paragraph" w:customStyle="1" w:styleId="99">
    <w:name w:val="附录标题"/>
    <w:basedOn w:val="24"/>
    <w:next w:val="24"/>
    <w:qFormat/>
    <w:uiPriority w:val="0"/>
    <w:pPr>
      <w:ind w:firstLine="0" w:firstLineChars="0"/>
      <w:jc w:val="center"/>
    </w:pPr>
    <w:rPr>
      <w:rFonts w:ascii="黑体" w:eastAsia="黑体"/>
    </w:rPr>
  </w:style>
  <w:style w:type="paragraph" w:customStyle="1" w:styleId="100">
    <w:name w:val="附录表标号"/>
    <w:basedOn w:val="1"/>
    <w:next w:val="24"/>
    <w:qFormat/>
    <w:uiPriority w:val="0"/>
    <w:pPr>
      <w:numPr>
        <w:ilvl w:val="0"/>
        <w:numId w:val="13"/>
      </w:numPr>
      <w:tabs>
        <w:tab w:val="clear" w:pos="0"/>
      </w:tabs>
      <w:spacing w:line="14" w:lineRule="exact"/>
      <w:ind w:left="811" w:hanging="448"/>
      <w:jc w:val="center"/>
      <w:outlineLvl w:val="0"/>
    </w:pPr>
    <w:rPr>
      <w:color w:val="FFFFFF"/>
    </w:rPr>
  </w:style>
  <w:style w:type="paragraph" w:customStyle="1" w:styleId="101">
    <w:name w:val="附录表标题"/>
    <w:basedOn w:val="1"/>
    <w:next w:val="24"/>
    <w:qFormat/>
    <w:uiPriority w:val="0"/>
    <w:pPr>
      <w:numPr>
        <w:ilvl w:val="1"/>
        <w:numId w:val="13"/>
      </w:numPr>
      <w:tabs>
        <w:tab w:val="left" w:pos="180"/>
      </w:tabs>
      <w:spacing w:beforeLines="50" w:afterLines="50"/>
      <w:ind w:left="0" w:firstLine="0"/>
      <w:jc w:val="center"/>
    </w:pPr>
    <w:rPr>
      <w:rFonts w:ascii="黑体" w:eastAsia="黑体"/>
      <w:szCs w:val="21"/>
    </w:rPr>
  </w:style>
  <w:style w:type="paragraph" w:customStyle="1" w:styleId="102">
    <w:name w:val="附录二级无"/>
    <w:basedOn w:val="66"/>
    <w:qFormat/>
    <w:uiPriority w:val="0"/>
    <w:pPr>
      <w:tabs>
        <w:tab w:val="clear" w:pos="360"/>
      </w:tabs>
      <w:spacing w:beforeLines="0" w:afterLines="0"/>
    </w:pPr>
    <w:rPr>
      <w:rFonts w:ascii="宋体" w:eastAsia="宋体"/>
      <w:szCs w:val="21"/>
    </w:rPr>
  </w:style>
  <w:style w:type="paragraph" w:customStyle="1" w:styleId="103">
    <w:name w:val="附录公式"/>
    <w:basedOn w:val="24"/>
    <w:next w:val="24"/>
    <w:link w:val="104"/>
    <w:qFormat/>
    <w:uiPriority w:val="0"/>
  </w:style>
  <w:style w:type="character" w:customStyle="1" w:styleId="104">
    <w:name w:val="附录公式 Char"/>
    <w:basedOn w:val="70"/>
    <w:link w:val="103"/>
    <w:qFormat/>
    <w:uiPriority w:val="0"/>
    <w:rPr>
      <w:rFonts w:ascii="宋体"/>
      <w:sz w:val="21"/>
      <w:lang w:val="en-US" w:eastAsia="zh-CN" w:bidi="ar-SA"/>
    </w:rPr>
  </w:style>
  <w:style w:type="paragraph" w:customStyle="1" w:styleId="105">
    <w:name w:val="附录公式编号制表符"/>
    <w:basedOn w:val="1"/>
    <w:next w:val="24"/>
    <w:qFormat/>
    <w:uiPriority w:val="0"/>
    <w:pPr>
      <w:widowControl/>
      <w:tabs>
        <w:tab w:val="center" w:pos="4201"/>
        <w:tab w:val="right" w:leader="dot" w:pos="9298"/>
      </w:tabs>
      <w:autoSpaceDE w:val="0"/>
      <w:autoSpaceDN w:val="0"/>
    </w:pPr>
    <w:rPr>
      <w:rFonts w:ascii="宋体"/>
      <w:kern w:val="0"/>
      <w:szCs w:val="20"/>
    </w:rPr>
  </w:style>
  <w:style w:type="paragraph" w:customStyle="1" w:styleId="106">
    <w:name w:val="附录三级无"/>
    <w:basedOn w:val="67"/>
    <w:qFormat/>
    <w:uiPriority w:val="0"/>
    <w:pPr>
      <w:tabs>
        <w:tab w:val="clear" w:pos="360"/>
      </w:tabs>
      <w:spacing w:beforeLines="0" w:afterLines="0"/>
    </w:pPr>
    <w:rPr>
      <w:rFonts w:ascii="宋体" w:eastAsia="宋体"/>
      <w:szCs w:val="21"/>
    </w:rPr>
  </w:style>
  <w:style w:type="paragraph" w:customStyle="1" w:styleId="107">
    <w:name w:val="附录数字编号列项（二级）"/>
    <w:qFormat/>
    <w:uiPriority w:val="0"/>
    <w:pPr>
      <w:numPr>
        <w:ilvl w:val="1"/>
        <w:numId w:val="14"/>
      </w:numPr>
    </w:pPr>
    <w:rPr>
      <w:rFonts w:ascii="宋体" w:hAnsi="Times New Roman" w:eastAsia="宋体" w:cs="Times New Roman"/>
      <w:sz w:val="21"/>
      <w:lang w:val="en-US" w:eastAsia="zh-CN" w:bidi="ar-SA"/>
    </w:rPr>
  </w:style>
  <w:style w:type="paragraph" w:customStyle="1" w:styleId="108">
    <w:name w:val="附录四级无"/>
    <w:basedOn w:val="68"/>
    <w:qFormat/>
    <w:uiPriority w:val="0"/>
    <w:pPr>
      <w:tabs>
        <w:tab w:val="clear" w:pos="360"/>
      </w:tabs>
      <w:spacing w:beforeLines="0" w:afterLines="0"/>
    </w:pPr>
    <w:rPr>
      <w:rFonts w:ascii="宋体" w:eastAsia="宋体"/>
      <w:szCs w:val="21"/>
    </w:rPr>
  </w:style>
  <w:style w:type="paragraph" w:customStyle="1" w:styleId="109">
    <w:name w:val="附录图标号"/>
    <w:basedOn w:val="1"/>
    <w:qFormat/>
    <w:uiPriority w:val="0"/>
    <w:pPr>
      <w:keepNext/>
      <w:pageBreakBefore/>
      <w:widowControl/>
      <w:numPr>
        <w:ilvl w:val="0"/>
        <w:numId w:val="15"/>
      </w:numPr>
      <w:spacing w:line="14" w:lineRule="exact"/>
      <w:ind w:left="0" w:firstLine="363"/>
      <w:jc w:val="center"/>
      <w:outlineLvl w:val="0"/>
    </w:pPr>
    <w:rPr>
      <w:color w:val="FFFFFF"/>
    </w:rPr>
  </w:style>
  <w:style w:type="paragraph" w:customStyle="1" w:styleId="110">
    <w:name w:val="附录图标题"/>
    <w:basedOn w:val="1"/>
    <w:next w:val="24"/>
    <w:qFormat/>
    <w:uiPriority w:val="0"/>
    <w:pPr>
      <w:numPr>
        <w:ilvl w:val="1"/>
        <w:numId w:val="15"/>
      </w:numPr>
      <w:tabs>
        <w:tab w:val="left" w:pos="363"/>
      </w:tabs>
      <w:spacing w:beforeLines="50" w:afterLines="50"/>
      <w:ind w:left="0" w:firstLine="0"/>
      <w:jc w:val="center"/>
    </w:pPr>
    <w:rPr>
      <w:rFonts w:ascii="黑体" w:eastAsia="黑体"/>
      <w:szCs w:val="21"/>
    </w:rPr>
  </w:style>
  <w:style w:type="paragraph" w:customStyle="1" w:styleId="111">
    <w:name w:val="附录五级无"/>
    <w:basedOn w:val="69"/>
    <w:qFormat/>
    <w:uiPriority w:val="0"/>
    <w:pPr>
      <w:tabs>
        <w:tab w:val="clear" w:pos="360"/>
      </w:tabs>
      <w:spacing w:beforeLines="0" w:afterLines="0"/>
    </w:pPr>
    <w:rPr>
      <w:rFonts w:ascii="宋体" w:eastAsia="宋体"/>
      <w:szCs w:val="21"/>
    </w:rPr>
  </w:style>
  <w:style w:type="paragraph" w:customStyle="1" w:styleId="112">
    <w:name w:val="附录一级无"/>
    <w:basedOn w:val="65"/>
    <w:qFormat/>
    <w:uiPriority w:val="0"/>
    <w:pPr>
      <w:tabs>
        <w:tab w:val="clear" w:pos="360"/>
      </w:tabs>
      <w:spacing w:beforeLines="0" w:afterLines="0"/>
    </w:pPr>
    <w:rPr>
      <w:rFonts w:ascii="宋体" w:eastAsia="宋体"/>
      <w:szCs w:val="21"/>
    </w:rPr>
  </w:style>
  <w:style w:type="paragraph" w:customStyle="1" w:styleId="113">
    <w:name w:val="附录字母编号列项（一级）"/>
    <w:qFormat/>
    <w:uiPriority w:val="0"/>
    <w:pPr>
      <w:tabs>
        <w:tab w:val="left" w:pos="839"/>
      </w:tabs>
    </w:pPr>
    <w:rPr>
      <w:rFonts w:ascii="宋体" w:hAnsi="Times New Roman" w:eastAsia="宋体" w:cs="Times New Roman"/>
      <w:sz w:val="21"/>
      <w:lang w:val="en-US" w:eastAsia="zh-CN" w:bidi="ar-SA"/>
    </w:rPr>
  </w:style>
  <w:style w:type="paragraph" w:customStyle="1" w:styleId="114">
    <w:name w:val="列项说明"/>
    <w:basedOn w:val="1"/>
    <w:qFormat/>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115">
    <w:name w:val="列项说明数字编号"/>
    <w:qFormat/>
    <w:uiPriority w:val="0"/>
    <w:pPr>
      <w:ind w:left="600" w:leftChars="400" w:hanging="200" w:hangingChars="200"/>
    </w:pPr>
    <w:rPr>
      <w:rFonts w:ascii="宋体" w:hAnsi="Times New Roman" w:eastAsia="宋体" w:cs="Times New Roman"/>
      <w:sz w:val="21"/>
      <w:lang w:val="en-US" w:eastAsia="zh-CN" w:bidi="ar-SA"/>
    </w:rPr>
  </w:style>
  <w:style w:type="paragraph" w:customStyle="1" w:styleId="116">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17">
    <w:name w:val="其他标准标志"/>
    <w:basedOn w:val="85"/>
    <w:qFormat/>
    <w:uiPriority w:val="0"/>
    <w:pPr>
      <w:framePr w:w="6101" w:wrap="around" w:vAnchor="page" w:hAnchor="page" w:x="4673" w:y="942"/>
    </w:pPr>
    <w:rPr>
      <w:w w:val="130"/>
    </w:rPr>
  </w:style>
  <w:style w:type="paragraph" w:customStyle="1" w:styleId="118">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119">
    <w:name w:val="其他发布部门"/>
    <w:basedOn w:val="93"/>
    <w:qFormat/>
    <w:uiPriority w:val="0"/>
    <w:pPr>
      <w:framePr w:wrap="around" w:y="15310"/>
      <w:spacing w:line="0" w:lineRule="atLeast"/>
    </w:pPr>
    <w:rPr>
      <w:rFonts w:ascii="黑体" w:eastAsia="黑体"/>
      <w:b w:val="0"/>
    </w:rPr>
  </w:style>
  <w:style w:type="paragraph" w:customStyle="1" w:styleId="120">
    <w:name w:val="实施日期"/>
    <w:qFormat/>
    <w:uiPriority w:val="0"/>
    <w:pPr>
      <w:framePr w:w="3997" w:h="471" w:hRule="exact" w:vSpace="181" w:wrap="around" w:vAnchor="page" w:hAnchor="page" w:x="7089" w:y="14097"/>
      <w:jc w:val="right"/>
    </w:pPr>
    <w:rPr>
      <w:rFonts w:ascii="Times New Roman" w:hAnsi="Times New Roman" w:eastAsia="黑体" w:cs="Times New Roman"/>
      <w:sz w:val="28"/>
      <w:lang w:val="en-US" w:eastAsia="zh-CN" w:bidi="ar-SA"/>
    </w:rPr>
  </w:style>
  <w:style w:type="paragraph" w:customStyle="1" w:styleId="121">
    <w:name w:val="示例后文字"/>
    <w:basedOn w:val="24"/>
    <w:next w:val="24"/>
    <w:qFormat/>
    <w:uiPriority w:val="0"/>
    <w:pPr>
      <w:ind w:firstLine="360"/>
    </w:pPr>
    <w:rPr>
      <w:sz w:val="18"/>
    </w:rPr>
  </w:style>
  <w:style w:type="paragraph" w:customStyle="1" w:styleId="122">
    <w:name w:val="首示例"/>
    <w:next w:val="24"/>
    <w:link w:val="123"/>
    <w:qFormat/>
    <w:uiPriority w:val="0"/>
    <w:pPr>
      <w:tabs>
        <w:tab w:val="left" w:pos="360"/>
      </w:tabs>
    </w:pPr>
    <w:rPr>
      <w:rFonts w:ascii="宋体" w:hAnsi="宋体" w:eastAsia="宋体" w:cs="Times New Roman"/>
      <w:kern w:val="2"/>
      <w:sz w:val="18"/>
      <w:szCs w:val="18"/>
      <w:lang w:val="en-US" w:eastAsia="zh-CN" w:bidi="ar-SA"/>
    </w:rPr>
  </w:style>
  <w:style w:type="character" w:customStyle="1" w:styleId="123">
    <w:name w:val="首示例 Char"/>
    <w:link w:val="122"/>
    <w:qFormat/>
    <w:uiPriority w:val="0"/>
    <w:rPr>
      <w:rFonts w:ascii="宋体" w:hAnsi="宋体"/>
      <w:kern w:val="2"/>
      <w:sz w:val="18"/>
      <w:szCs w:val="18"/>
    </w:rPr>
  </w:style>
  <w:style w:type="paragraph" w:customStyle="1" w:styleId="124">
    <w:name w:val="四级无"/>
    <w:basedOn w:val="54"/>
    <w:qFormat/>
    <w:uiPriority w:val="0"/>
    <w:pPr>
      <w:spacing w:beforeLines="0" w:afterLines="0"/>
    </w:pPr>
    <w:rPr>
      <w:rFonts w:ascii="宋体" w:eastAsia="宋体"/>
    </w:rPr>
  </w:style>
  <w:style w:type="paragraph" w:customStyle="1" w:styleId="125">
    <w:name w:val="条文脚注"/>
    <w:basedOn w:val="25"/>
    <w:qFormat/>
    <w:uiPriority w:val="0"/>
    <w:pPr>
      <w:numPr>
        <w:numId w:val="0"/>
      </w:numPr>
      <w:jc w:val="both"/>
    </w:pPr>
  </w:style>
  <w:style w:type="paragraph" w:customStyle="1" w:styleId="126">
    <w:name w:val="图标脚注说明"/>
    <w:basedOn w:val="24"/>
    <w:qFormat/>
    <w:uiPriority w:val="0"/>
    <w:pPr>
      <w:ind w:left="840" w:hanging="420" w:firstLineChars="0"/>
    </w:pPr>
    <w:rPr>
      <w:sz w:val="18"/>
      <w:szCs w:val="18"/>
    </w:rPr>
  </w:style>
  <w:style w:type="paragraph" w:customStyle="1" w:styleId="127">
    <w:name w:val="图表脚注说明"/>
    <w:basedOn w:val="1"/>
    <w:qFormat/>
    <w:uiPriority w:val="0"/>
    <w:pPr>
      <w:numPr>
        <w:ilvl w:val="0"/>
        <w:numId w:val="16"/>
      </w:numPr>
    </w:pPr>
    <w:rPr>
      <w:rFonts w:ascii="宋体"/>
      <w:sz w:val="18"/>
      <w:szCs w:val="18"/>
    </w:rPr>
  </w:style>
  <w:style w:type="paragraph" w:customStyle="1" w:styleId="128">
    <w:name w:val="图的脚注"/>
    <w:next w:val="24"/>
    <w:qFormat/>
    <w:uiPriority w:val="0"/>
    <w:pPr>
      <w:widowControl w:val="0"/>
      <w:ind w:left="840" w:leftChars="200" w:hanging="420" w:hangingChars="200"/>
      <w:jc w:val="both"/>
    </w:pPr>
    <w:rPr>
      <w:rFonts w:ascii="宋体" w:hAnsi="Times New Roman" w:eastAsia="宋体" w:cs="Times New Roman"/>
      <w:sz w:val="18"/>
      <w:lang w:val="en-US" w:eastAsia="zh-CN" w:bidi="ar-SA"/>
    </w:rPr>
  </w:style>
  <w:style w:type="paragraph" w:customStyle="1" w:styleId="129">
    <w:name w:val="文献分类号"/>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130">
    <w:name w:val="五级无"/>
    <w:basedOn w:val="55"/>
    <w:qFormat/>
    <w:uiPriority w:val="0"/>
    <w:pPr>
      <w:spacing w:beforeLines="0" w:afterLines="0"/>
    </w:pPr>
    <w:rPr>
      <w:rFonts w:ascii="宋体" w:eastAsia="宋体"/>
    </w:rPr>
  </w:style>
  <w:style w:type="paragraph" w:customStyle="1" w:styleId="131">
    <w:name w:val="正文表标题"/>
    <w:next w:val="24"/>
    <w:qFormat/>
    <w:uiPriority w:val="0"/>
    <w:pPr>
      <w:numPr>
        <w:ilvl w:val="0"/>
        <w:numId w:val="17"/>
      </w:numPr>
      <w:spacing w:beforeLines="50" w:afterLines="50"/>
      <w:jc w:val="center"/>
    </w:pPr>
    <w:rPr>
      <w:rFonts w:ascii="黑体" w:hAnsi="Times New Roman" w:eastAsia="黑体" w:cs="Times New Roman"/>
      <w:sz w:val="21"/>
      <w:lang w:val="en-US" w:eastAsia="zh-CN" w:bidi="ar-SA"/>
    </w:rPr>
  </w:style>
  <w:style w:type="paragraph" w:customStyle="1" w:styleId="132">
    <w:name w:val="正文公式编号制表符"/>
    <w:basedOn w:val="24"/>
    <w:next w:val="24"/>
    <w:qFormat/>
    <w:uiPriority w:val="0"/>
    <w:pPr>
      <w:ind w:firstLine="0" w:firstLineChars="0"/>
    </w:pPr>
  </w:style>
  <w:style w:type="paragraph" w:customStyle="1" w:styleId="133">
    <w:name w:val="正文图标题"/>
    <w:next w:val="24"/>
    <w:qFormat/>
    <w:uiPriority w:val="0"/>
    <w:pPr>
      <w:numPr>
        <w:ilvl w:val="0"/>
        <w:numId w:val="18"/>
      </w:numPr>
      <w:spacing w:beforeLines="50" w:afterLines="50"/>
      <w:jc w:val="center"/>
    </w:pPr>
    <w:rPr>
      <w:rFonts w:ascii="黑体" w:hAnsi="Times New Roman" w:eastAsia="黑体" w:cs="Times New Roman"/>
      <w:sz w:val="21"/>
      <w:lang w:val="en-US" w:eastAsia="zh-CN" w:bidi="ar-SA"/>
    </w:rPr>
  </w:style>
  <w:style w:type="paragraph" w:customStyle="1" w:styleId="134">
    <w:name w:val="终结线"/>
    <w:basedOn w:val="1"/>
    <w:qFormat/>
    <w:uiPriority w:val="0"/>
    <w:pPr>
      <w:framePr w:hSpace="181" w:vSpace="181" w:wrap="around" w:vAnchor="text" w:hAnchor="margin" w:xAlign="center" w:y="285"/>
    </w:pPr>
  </w:style>
  <w:style w:type="paragraph" w:customStyle="1" w:styleId="135">
    <w:name w:val="其他发布日期"/>
    <w:qFormat/>
    <w:uiPriority w:val="0"/>
    <w:pPr>
      <w:framePr w:w="3997" w:h="471" w:hRule="exact" w:vSpace="181" w:wrap="around" w:vAnchor="page" w:hAnchor="page" w:x="1419" w:y="14097" w:anchorLock="1"/>
    </w:pPr>
    <w:rPr>
      <w:rFonts w:ascii="Times New Roman" w:hAnsi="Times New Roman" w:eastAsia="黑体" w:cs="Times New Roman"/>
      <w:sz w:val="28"/>
      <w:lang w:val="en-US" w:eastAsia="zh-CN" w:bidi="ar-SA"/>
    </w:rPr>
  </w:style>
  <w:style w:type="paragraph" w:customStyle="1" w:styleId="136">
    <w:name w:val="其他实施日期"/>
    <w:basedOn w:val="120"/>
    <w:qFormat/>
    <w:uiPriority w:val="0"/>
    <w:pPr>
      <w:framePr w:wrap="around"/>
    </w:pPr>
  </w:style>
  <w:style w:type="paragraph" w:customStyle="1" w:styleId="137">
    <w:name w:val="封面标准名称2"/>
    <w:basedOn w:val="49"/>
    <w:qFormat/>
    <w:uiPriority w:val="0"/>
    <w:pPr>
      <w:framePr w:wrap="around" w:y="4469"/>
      <w:spacing w:beforeLines="630"/>
    </w:pPr>
  </w:style>
  <w:style w:type="paragraph" w:customStyle="1" w:styleId="138">
    <w:name w:val="封面标准英文名称2"/>
    <w:basedOn w:val="48"/>
    <w:qFormat/>
    <w:uiPriority w:val="0"/>
    <w:pPr>
      <w:framePr w:wrap="around" w:y="4469"/>
    </w:pPr>
  </w:style>
  <w:style w:type="paragraph" w:customStyle="1" w:styleId="139">
    <w:name w:val="封面一致性程度标识2"/>
    <w:basedOn w:val="47"/>
    <w:qFormat/>
    <w:uiPriority w:val="0"/>
    <w:pPr>
      <w:framePr w:wrap="around" w:y="4469"/>
    </w:pPr>
  </w:style>
  <w:style w:type="paragraph" w:customStyle="1" w:styleId="140">
    <w:name w:val="封面标准文稿类别2"/>
    <w:basedOn w:val="46"/>
    <w:qFormat/>
    <w:uiPriority w:val="0"/>
    <w:pPr>
      <w:framePr w:wrap="around" w:y="4469"/>
    </w:pPr>
  </w:style>
  <w:style w:type="paragraph" w:customStyle="1" w:styleId="141">
    <w:name w:val="封面标准文稿编辑信息2"/>
    <w:basedOn w:val="97"/>
    <w:qFormat/>
    <w:uiPriority w:val="0"/>
    <w:pPr>
      <w:framePr w:wrap="around" w:y="4469"/>
    </w:pPr>
  </w:style>
  <w:style w:type="paragraph" w:customStyle="1" w:styleId="142">
    <w:name w:val="标准名称"/>
    <w:basedOn w:val="76"/>
    <w:link w:val="145"/>
    <w:qFormat/>
    <w:uiPriority w:val="0"/>
  </w:style>
  <w:style w:type="character" w:customStyle="1" w:styleId="143">
    <w:name w:val="占位符文本1"/>
    <w:basedOn w:val="36"/>
    <w:semiHidden/>
    <w:qFormat/>
    <w:uiPriority w:val="99"/>
    <w:rPr>
      <w:color w:val="808080"/>
    </w:rPr>
  </w:style>
  <w:style w:type="character" w:customStyle="1" w:styleId="144">
    <w:name w:val="目次、标准名称标题 Char"/>
    <w:basedOn w:val="36"/>
    <w:link w:val="76"/>
    <w:qFormat/>
    <w:uiPriority w:val="0"/>
    <w:rPr>
      <w:rFonts w:ascii="黑体" w:eastAsia="黑体"/>
      <w:sz w:val="32"/>
      <w:shd w:val="clear" w:color="FFFFFF" w:fill="FFFFFF"/>
    </w:rPr>
  </w:style>
  <w:style w:type="character" w:customStyle="1" w:styleId="145">
    <w:name w:val="标准名称 Char"/>
    <w:basedOn w:val="144"/>
    <w:link w:val="142"/>
    <w:qFormat/>
    <w:uiPriority w:val="0"/>
    <w:rPr>
      <w:rFonts w:ascii="黑体" w:eastAsia="黑体"/>
      <w:sz w:val="32"/>
      <w:shd w:val="clear" w:color="FFFFFF" w:fill="FFFFFF"/>
    </w:rPr>
  </w:style>
  <w:style w:type="character" w:customStyle="1" w:styleId="146">
    <w:name w:val="批注框文本 字符"/>
    <w:basedOn w:val="36"/>
    <w:link w:val="17"/>
    <w:qFormat/>
    <w:uiPriority w:val="0"/>
    <w:rPr>
      <w:kern w:val="2"/>
      <w:sz w:val="18"/>
      <w:szCs w:val="18"/>
    </w:rPr>
  </w:style>
  <w:style w:type="paragraph" w:customStyle="1" w:styleId="147">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148">
    <w:name w:val="标题 2 字符"/>
    <w:basedOn w:val="36"/>
    <w:link w:val="3"/>
    <w:qFormat/>
    <w:uiPriority w:val="0"/>
    <w:rPr>
      <w:rFonts w:asciiTheme="majorHAnsi" w:hAnsiTheme="majorHAnsi" w:eastAsiaTheme="majorEastAsia" w:cstheme="majorBidi"/>
      <w:b/>
      <w:bCs/>
      <w:kern w:val="2"/>
      <w:sz w:val="32"/>
      <w:szCs w:val="32"/>
    </w:rPr>
  </w:style>
  <w:style w:type="paragraph" w:styleId="149">
    <w:name w:val="List Paragraph"/>
    <w:basedOn w:val="1"/>
    <w:qFormat/>
    <w:uiPriority w:val="99"/>
    <w:pPr>
      <w:ind w:firstLine="420" w:firstLineChars="200"/>
    </w:pPr>
  </w:style>
  <w:style w:type="character" w:customStyle="1" w:styleId="150">
    <w:name w:val="批注文字 字符"/>
    <w:basedOn w:val="36"/>
    <w:link w:val="9"/>
    <w:semiHidden/>
    <w:qFormat/>
    <w:uiPriority w:val="0"/>
    <w:rPr>
      <w:kern w:val="2"/>
      <w:sz w:val="21"/>
      <w:szCs w:val="24"/>
    </w:rPr>
  </w:style>
  <w:style w:type="character" w:customStyle="1" w:styleId="151">
    <w:name w:val="批注主题 字符"/>
    <w:basedOn w:val="150"/>
    <w:link w:val="33"/>
    <w:semiHidden/>
    <w:qFormat/>
    <w:uiPriority w:val="0"/>
    <w:rPr>
      <w:b/>
      <w:bCs/>
      <w:kern w:val="2"/>
      <w:sz w:val="21"/>
      <w:szCs w:val="24"/>
    </w:rPr>
  </w:style>
  <w:style w:type="character" w:customStyle="1" w:styleId="152">
    <w:name w:val="页眉 字符"/>
    <w:basedOn w:val="36"/>
    <w:link w:val="19"/>
    <w:qFormat/>
    <w:uiPriority w:val="0"/>
    <w:rPr>
      <w:kern w:val="2"/>
      <w:sz w:val="18"/>
      <w:szCs w:val="18"/>
    </w:rPr>
  </w:style>
  <w:style w:type="character" w:customStyle="1" w:styleId="153">
    <w:name w:val="未处理的提及1"/>
    <w:basedOn w:val="36"/>
    <w:semiHidden/>
    <w:unhideWhenUsed/>
    <w:qFormat/>
    <w:uiPriority w:val="99"/>
    <w:rPr>
      <w:color w:val="605E5C"/>
      <w:shd w:val="clear" w:color="auto" w:fill="E1DFDD"/>
    </w:rPr>
  </w:style>
  <w:style w:type="paragraph" w:customStyle="1" w:styleId="15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microsoft.com/office/2006/relationships/keyMapCustomizations" Target="customizations.xml"/><Relationship Id="rId18" Type="http://schemas.openxmlformats.org/officeDocument/2006/relationships/customXml" Target="../customXml/item3.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73a3bf66-8866-4ce5-8939-4984e25626fa</errorID>
      <errorWord>graded</errorWord>
      <group>L1_English</group>
      <groupName>英文问题</groupName>
      <ability>L2_Case</ability>
      <abilityName>大小写问题</abilityName>
      <candidateList>
        <item>Graded</item>
      </candidateList>
      <explain>疑似单词大小写错误，建议将graded修改为Graded</explain>
      <paraID>2B76AEA5</paraID>
      <start>0</start>
      <end>6</end>
      <status>ignored</status>
      <modifiedWord/>
      <trackRevisions>false</trackRevisions>
    </reviewItem>
    <reviewItem>
      <errorID>b2dae705-d5f6-4c14-b30c-33b1c165e235</errorID>
      <errorWord>安全全部</errorWord>
      <group>L1_Knowledge</group>
      <groupName>知识性问题</groupName>
      <ability>L2_Organization</ability>
      <abilityName>机构检查</abilityName>
      <candidateList>
        <item>安全部</item>
      </candidateList>
      <explain>机关单位全简称表述错误</explain>
      <paraID>7B016662</paraID>
      <start>52</start>
      <end>56</end>
      <status>ignored</status>
      <modifiedWord/>
      <trackRevisions>false</trackRevisions>
    </reviewItem>
    <reviewItem>
      <errorID>9ae0c8d0-dff7-48ae-b428-6ce42b3df67f</errorID>
      <errorWord>到</errorWord>
      <group>L1_Word</group>
      <groupName>字词问题</groupName>
      <ability>L2_Typo</ability>
      <abilityName>字词错误</abilityName>
      <candidateList>
        <item>对</item>
      </candidateList>
      <explain>存在字形相近字词的误用。</explain>
      <paraID>4AAAD07B</paraID>
      <start>43</start>
      <end>44</end>
      <status>ignored</status>
      <modifiedWord/>
      <trackRevisions>false</trackRevisions>
    </reviewItem>
    <reviewItem>
      <errorID>de6b1071-2c82-40b1-b26c-43d3d023d892</errorID>
      <errorWord>玩</errorWord>
      <group>L1_Word</group>
      <groupName>字词问题</groupName>
      <ability>L2_Typo</ability>
      <abilityName>字词错误</abilityName>
      <candidateList>
        <item>往</item>
      </candidateList>
      <explain>存在发音相近字词的误用。</explain>
      <paraID>718C5EBB</paraID>
      <start>3</start>
      <end>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5D26DE-8CA9-4819-8A07-DED7621525B0}">
  <ds:schemaRefs/>
</ds:datastoreItem>
</file>

<file path=customXml/itemProps3.xml><?xml version="1.0" encoding="utf-8"?>
<ds:datastoreItem xmlns:ds="http://schemas.openxmlformats.org/officeDocument/2006/customXml" ds:itemID="{ea3f747e-c167-4657-8dfd-8baa1cb85c2e}">
  <ds:schemaRefs/>
</ds:datastoreItem>
</file>

<file path=docProps/app.xml><?xml version="1.0" encoding="utf-8"?>
<Properties xmlns="http://schemas.openxmlformats.org/officeDocument/2006/extended-properties" xmlns:vt="http://schemas.openxmlformats.org/officeDocument/2006/docPropsVTypes">
  <Template>Normal</Template>
  <Company>zle</Company>
  <Pages>20</Pages>
  <Words>12434</Words>
  <Characters>13750</Characters>
  <Lines>22</Lines>
  <Paragraphs>6</Paragraphs>
  <TotalTime>1</TotalTime>
  <ScaleCrop>false</ScaleCrop>
  <LinksUpToDate>false</LinksUpToDate>
  <CharactersWithSpaces>14008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2020-12-25T02:31:00Z</dcterms:created>
  <dc:creator>CNIS</dc:creator>
  <cp:lastModifiedBy>娟子</cp:lastModifiedBy>
  <cp:lastPrinted>2020-12-25T09:36:00Z</cp:lastPrinted>
  <dcterms:modified xsi:type="dcterms:W3CDTF">2026-10-15T03:36:14Z</dcterms:modified>
  <dc:title>标准名称</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A9443A8A11344F78A5F149C2787E6ED1_13</vt:lpwstr>
  </property>
  <property fmtid="{D5CDD505-2E9C-101B-9397-08002B2CF9AE}" pid="4" name="KSOTemplateDocerSaveRecord">
    <vt:lpwstr>eyJoZGlkIjoiMjZkMjIyNGU3N2U2YTYwZjRlM2JkM2NkZTVlZmZlMjkiLCJ1c2VySWQiOiIzNzA5NTM0ODkifQ==</vt:lpwstr>
  </property>
</Properties>
</file>