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77316">
      <w:pPr>
        <w:pStyle w:val="129"/>
        <w:framePr w:wrap="around"/>
        <w:rPr>
          <w:rFonts w:hAnsi="黑体"/>
        </w:rPr>
      </w:pPr>
      <w:r>
        <w:rPr>
          <w:rFonts w:hAnsi="黑体"/>
        </w:rPr>
        <w:t>ICS</w:t>
      </w:r>
      <w:r>
        <w:rPr>
          <w:rFonts w:hint="eastAsia" w:hAnsi="黑体"/>
        </w:rPr>
        <w:t xml:space="preserve"> </w:t>
      </w:r>
      <w:r>
        <w:rPr>
          <w:rFonts w:hAnsi="黑体"/>
        </w:rPr>
        <w:t> 03.080.99</w:t>
      </w:r>
    </w:p>
    <w:p w14:paraId="229DA71D">
      <w:pPr>
        <w:pStyle w:val="129"/>
        <w:framePr w:wrap="around"/>
        <w:rPr>
          <w:rFonts w:hAnsi="黑体"/>
        </w:rPr>
      </w:pPr>
      <w:r>
        <w:rPr>
          <w:rFonts w:hAnsi="黑体"/>
        </w:rPr>
        <w:t xml:space="preserve">CCS A 16 </w:t>
      </w:r>
    </w:p>
    <w:tbl>
      <w:tblPr>
        <w:tblStyle w:val="3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21"/>
      </w:tblGrid>
      <w:tr w14:paraId="23B4F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8" w:type="dxa"/>
            <w:tcBorders>
              <w:top w:val="nil"/>
              <w:left w:val="nil"/>
              <w:bottom w:val="nil"/>
              <w:right w:val="nil"/>
            </w:tcBorders>
            <w:shd w:val="clear" w:color="auto" w:fill="auto"/>
          </w:tcPr>
          <w:p w14:paraId="3EC972D1">
            <w:pPr>
              <w:pStyle w:val="129"/>
              <w:framePr w:wrap="around"/>
            </w:pPr>
          </w:p>
        </w:tc>
      </w:tr>
    </w:tbl>
    <w:p w14:paraId="4E9299DB">
      <w:pPr>
        <w:pStyle w:val="73"/>
        <w:framePr w:wrap="around"/>
        <w:rPr>
          <w:rFonts w:hint="default" w:hAnsi="黑体" w:eastAsia="黑体"/>
          <w:lang w:val="en-US" w:eastAsia="zh-CN"/>
        </w:rPr>
      </w:pPr>
      <w:bookmarkStart w:id="0" w:name="_Hlk46753871"/>
      <w:r>
        <w:rPr>
          <w:rFonts w:hAnsi="黑体"/>
        </w:rPr>
        <w:t>T/</w:t>
      </w:r>
      <w:r>
        <w:rPr>
          <w:rFonts w:hint="eastAsia" w:hAnsi="黑体"/>
        </w:rPr>
        <w:t>BAS</w:t>
      </w:r>
      <w:r>
        <w:rPr>
          <w:rFonts w:hAnsi="黑体"/>
        </w:rPr>
        <w:t xml:space="preserve"> </w:t>
      </w:r>
      <w:r>
        <w:rPr>
          <w:rFonts w:hint="eastAsia" w:hAnsi="黑体"/>
          <w:lang w:val="en-US" w:eastAsia="zh-CN"/>
        </w:rPr>
        <w:t>XXX</w:t>
      </w:r>
      <w:r>
        <w:rPr>
          <w:rFonts w:hAnsi="黑体"/>
        </w:rPr>
        <w:t>-</w:t>
      </w:r>
      <w:r>
        <w:rPr>
          <w:rFonts w:hint="eastAsia" w:hAnsi="黑体"/>
          <w:lang w:val="en-US" w:eastAsia="zh-CN"/>
        </w:rPr>
        <w:t>XXXX</w:t>
      </w:r>
    </w:p>
    <w:tbl>
      <w:tblPr>
        <w:tblStyle w:val="3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30"/>
      </w:tblGrid>
      <w:tr w14:paraId="5D71D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30" w:type="dxa"/>
            <w:tcBorders>
              <w:top w:val="nil"/>
              <w:left w:val="nil"/>
              <w:bottom w:val="nil"/>
              <w:right w:val="nil"/>
            </w:tcBorders>
            <w:shd w:val="clear" w:color="auto" w:fill="auto"/>
          </w:tcPr>
          <w:p w14:paraId="62420AF6">
            <w:pPr>
              <w:pStyle w:val="95"/>
              <w:framePr w:wrap="around"/>
            </w:pPr>
            <w:r>
              <mc:AlternateContent>
                <mc:Choice Requires="wps">
                  <w:drawing>
                    <wp:anchor distT="0" distB="0" distL="114300" distR="114300" simplePos="0" relativeHeight="251663360" behindDoc="1" locked="0" layoutInCell="1" allowOverlap="1">
                      <wp:simplePos x="0" y="0"/>
                      <wp:positionH relativeFrom="column">
                        <wp:posOffset>4665980</wp:posOffset>
                      </wp:positionH>
                      <wp:positionV relativeFrom="paragraph">
                        <wp:posOffset>34290</wp:posOffset>
                      </wp:positionV>
                      <wp:extent cx="1143000" cy="228600"/>
                      <wp:effectExtent l="0" t="0" r="0" b="0"/>
                      <wp:wrapNone/>
                      <wp:docPr id="5" name="DT"/>
                      <wp:cNvGraphicFramePr/>
                      <a:graphic xmlns:a="http://schemas.openxmlformats.org/drawingml/2006/main">
                        <a:graphicData uri="http://schemas.microsoft.com/office/word/2010/wordprocessingShape">
                          <wps:wsp>
                            <wps:cNvSpPr/>
                            <wps:spPr>
                              <a:xfrm>
                                <a:off x="0" y="0"/>
                                <a:ext cx="1143000" cy="228600"/>
                              </a:xfrm>
                              <a:prstGeom prst="rect">
                                <a:avLst/>
                              </a:prstGeom>
                              <a:solidFill>
                                <a:srgbClr val="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DT" o:spid="_x0000_s1026" o:spt="1" style="position:absolute;left:0pt;margin-left:367.4pt;margin-top:2.7pt;height:18pt;width:90pt;z-index:-251653120;v-text-anchor:middle;mso-width-relative:page;mso-height-relative:page;" fillcolor="#FFFFFF" filled="t" stroked="f" coordsize="21600,21600" o:gfxdata="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xZ7k/9MAAAAIAQAADwAAAAAA&#10;AAABACAAAAAiAAAAZHJzL2Rvd25yZXYueG1sUEsBAhQAFAAAAAgAh07iQGWS4spRAgAAvAQAAA4A&#10;AAAAAAAAAQAgAAAAIgEAAGRycy9lMm9Eb2MueG1sUEsFBgAAAAAGAAYAWQEAAOUFAAAAAA==&#10;">
                      <v:fill on="t" focussize="0,0"/>
                      <v:stroke on="f" weight="2pt"/>
                      <v:imagedata o:title=""/>
                      <o:lock v:ext="edit" aspectratio="f"/>
                    </v:rect>
                  </w:pict>
                </mc:Fallback>
              </mc:AlternateContent>
            </w:r>
          </w:p>
        </w:tc>
      </w:tr>
    </w:tbl>
    <w:p w14:paraId="235286F7">
      <w:pPr>
        <w:pStyle w:val="73"/>
        <w:framePr w:wrap="around"/>
        <w:rPr>
          <w:rFonts w:hAnsi="黑体"/>
        </w:rPr>
      </w:pPr>
    </w:p>
    <w:p w14:paraId="40CE7C4D">
      <w:pPr>
        <w:pStyle w:val="73"/>
        <w:framePr w:wrap="around"/>
        <w:rPr>
          <w:rFonts w:hAnsi="黑体"/>
        </w:rPr>
      </w:pPr>
    </w:p>
    <w:bookmarkEnd w:id="0"/>
    <w:p w14:paraId="69437AC5">
      <w:pPr>
        <w:pStyle w:val="49"/>
        <w:framePr w:wrap="around"/>
        <w:rPr>
          <w:rFonts w:hint="default" w:eastAsia="黑体"/>
          <w:lang w:val="en-US" w:eastAsia="zh-CN"/>
        </w:rPr>
      </w:pPr>
      <w:r>
        <w:rPr>
          <w:rFonts w:hint="eastAsia"/>
          <w:lang w:val="en-US" w:eastAsia="zh-CN"/>
        </w:rPr>
        <w:t>针对认知障碍人群的电子玩具分级适配  指南</w:t>
      </w:r>
    </w:p>
    <w:tbl>
      <w:tblPr>
        <w:tblStyle w:val="3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29"/>
      </w:tblGrid>
      <w:tr w14:paraId="1793D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9" w:type="dxa"/>
            <w:tcBorders>
              <w:top w:val="nil"/>
              <w:left w:val="nil"/>
              <w:bottom w:val="nil"/>
              <w:right w:val="nil"/>
            </w:tcBorders>
            <w:shd w:val="clear" w:color="auto" w:fill="auto"/>
          </w:tcPr>
          <w:p w14:paraId="467DC8A2">
            <w:pPr>
              <w:pStyle w:val="46"/>
              <w:framePr w:wrap="around"/>
              <w:rPr>
                <w:rFonts w:hint="default"/>
                <w:lang w:val="en-US"/>
              </w:rPr>
            </w:pPr>
            <w:r>
              <w:rPr>
                <w:rFonts w:ascii="黑体" w:hAnsi="黑体" w:eastAsia="黑体"/>
              </w:rPr>
              <w:t xml:space="preserve"> </w:t>
            </w:r>
            <w:r>
              <w:rPr>
                <w:rFonts w:hint="eastAsia" w:ascii="黑体" w:hAnsi="黑体" w:eastAsia="黑体"/>
                <w:sz w:val="28"/>
                <w:lang w:val="en-US" w:eastAsia="zh-CN"/>
              </w:rPr>
              <w:t>Guidelines for graded adaptation of electronic toys for people with cognitive impairment</w:t>
            </w:r>
          </w:p>
        </w:tc>
      </w:tr>
      <w:tr w14:paraId="25193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9" w:type="dxa"/>
            <w:tcBorders>
              <w:top w:val="nil"/>
              <w:left w:val="nil"/>
              <w:bottom w:val="nil"/>
              <w:right w:val="nil"/>
            </w:tcBorders>
            <w:shd w:val="clear" w:color="auto" w:fill="auto"/>
          </w:tcPr>
          <w:p w14:paraId="2FB319A9">
            <w:pPr>
              <w:pStyle w:val="97"/>
              <w:framePr w:wrap="around"/>
              <w:jc w:val="center"/>
              <w:rPr>
                <w:rFonts w:hint="default" w:eastAsia="宋体"/>
                <w:lang w:val="en-US" w:eastAsia="zh-CN"/>
              </w:rPr>
            </w:pPr>
            <w:r>
              <w:rPr>
                <w:rFonts w:hint="eastAsia"/>
                <w:lang w:val="en-US" w:eastAsia="zh-CN"/>
              </w:rPr>
              <w:t>（征求意见稿）</w:t>
            </w:r>
          </w:p>
        </w:tc>
      </w:tr>
    </w:tbl>
    <w:p w14:paraId="432BCD7F">
      <w:pPr>
        <w:pStyle w:val="135"/>
        <w:framePr w:wrap="around"/>
      </w:pPr>
      <w:r>
        <w:rPr>
          <w:rFonts w:hint="eastAsia" w:ascii="黑体"/>
          <w:lang w:val="en-US" w:eastAsia="zh-CN"/>
        </w:rPr>
        <w:t>XXXX</w:t>
      </w:r>
      <w:r>
        <w:rPr>
          <w:rFonts w:ascii="黑体"/>
        </w:rPr>
        <w:t>-</w:t>
      </w:r>
      <w:r>
        <w:rPr>
          <w:rFonts w:hint="eastAsia" w:ascii="黑体"/>
          <w:lang w:val="en-US" w:eastAsia="zh-CN"/>
        </w:rPr>
        <w:t>XX</w:t>
      </w:r>
      <w:r>
        <w:rPr>
          <w:rFonts w:ascii="黑体"/>
        </w:rPr>
        <w:t>-</w:t>
      </w:r>
      <w:r>
        <w:rPr>
          <w:rFonts w:hint="eastAsia" w:ascii="黑体"/>
          <w:lang w:val="en-US" w:eastAsia="zh-CN"/>
        </w:rPr>
        <w:t>XX</w:t>
      </w:r>
      <w:r>
        <w:rPr>
          <w:rFonts w:hint="eastAsia"/>
        </w:rPr>
        <w:t>发布</w:t>
      </w:r>
      <w:r>
        <w:rPr>
          <w:rFonts w:hint="eastAsi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2339340</wp:posOffset>
                </wp:positionV>
                <wp:extent cx="6120130" cy="0"/>
                <wp:effectExtent l="0" t="0" r="33655" b="19050"/>
                <wp:wrapNone/>
                <wp:docPr id="2" name="直接连接符 2"/>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184.2pt;height:0pt;width:481.9pt;z-index:251660288;mso-width-relative:page;mso-height-relative:page;" filled="f" stroked="t" coordsize="21600,21600" o:gfxdata="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N3ymz1QAAAAgBAAAPAAAAAAAA&#10;AAEAIAAAACIAAABkcnMvZG93bnJldi54bWxQSwECFAAUAAAACACHTuJARcPzM9wBAACoAwAADgAA&#10;AAAAAAABACAAAAAkAQAAZHJzL2Uyb0RvYy54bWxQSwUGAAAAAAYABgBZAQAAcgUAAAAA&#10;">
                <v:fill on="f" focussize="0,0"/>
                <v:stroke color="#000000" joinstyle="round"/>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8891905</wp:posOffset>
                </wp:positionV>
                <wp:extent cx="6120130" cy="0"/>
                <wp:effectExtent l="0" t="0" r="33655" b="19050"/>
                <wp:wrapNone/>
                <wp:docPr id="1" name="直接连接符 1"/>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700.15pt;height:0pt;width:481.9pt;z-index:251659264;mso-width-relative:page;mso-height-relative:page;" filled="f" stroked="t" coordsize="21600,21600" o:gfxdata="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Dr9Go1QAAAAoBAAAPAAAAAAAA&#10;AAEAIAAAACIAAABkcnMvZG93bnJldi54bWxQSwECFAAUAAAACACHTuJAY1jPcdwBAACoAwAADgAA&#10;AAAAAAABACAAAAAkAQAAZHJzL2Uyb0RvYy54bWxQSwUGAAAAAAYABgBZAQAAcgUAAAAA&#10;">
                <v:fill on="f" focussize="0,0"/>
                <v:stroke color="#000000" joinstyle="round"/>
                <v:imagedata o:title=""/>
                <o:lock v:ext="edit" aspectratio="f"/>
              </v:line>
            </w:pict>
          </mc:Fallback>
        </mc:AlternateContent>
      </w:r>
    </w:p>
    <w:p w14:paraId="713BA38D">
      <w:pPr>
        <w:pStyle w:val="136"/>
        <w:framePr w:wrap="around"/>
      </w:pPr>
      <w:r>
        <w:rPr>
          <w:rFonts w:hint="eastAsia" w:ascii="黑体"/>
          <w:lang w:val="en-US" w:eastAsia="zh-CN"/>
        </w:rPr>
        <w:t>XXXX</w:t>
      </w:r>
      <w:r>
        <w:rPr>
          <w:rFonts w:ascii="黑体"/>
        </w:rPr>
        <w:t>-</w:t>
      </w:r>
      <w:r>
        <w:rPr>
          <w:rFonts w:hint="eastAsia" w:ascii="黑体"/>
          <w:lang w:val="en-US" w:eastAsia="zh-CN"/>
        </w:rPr>
        <w:t>XX</w:t>
      </w:r>
      <w:r>
        <w:rPr>
          <w:rFonts w:ascii="黑体"/>
        </w:rPr>
        <w:t>-</w:t>
      </w:r>
      <w:r>
        <w:rPr>
          <w:rFonts w:hint="eastAsia" w:ascii="黑体"/>
          <w:lang w:val="en-US" w:eastAsia="zh-CN"/>
        </w:rPr>
        <w:t>XX</w:t>
      </w:r>
      <w:r>
        <w:rPr>
          <w:rFonts w:hint="eastAsia"/>
        </w:rPr>
        <w:t>实施</w:t>
      </w:r>
    </w:p>
    <w:p w14:paraId="503F57F8">
      <w:pPr>
        <w:pStyle w:val="119"/>
        <w:framePr w:wrap="around" w:x="2143" w:y="15028"/>
        <w:rPr>
          <w:rStyle w:val="92"/>
          <w:rFonts w:hint="default" w:eastAsia="黑体"/>
          <w:sz w:val="32"/>
          <w:szCs w:val="32"/>
          <w:lang w:val="en-US" w:eastAsia="zh-CN"/>
        </w:rPr>
      </w:pPr>
      <w:bookmarkStart w:id="1" w:name="_Hlk59786002"/>
      <w:r>
        <w:rPr>
          <w:rStyle w:val="92"/>
          <w:sz w:val="32"/>
          <w:szCs w:val="32"/>
        </w:rPr>
        <w:t xml:space="preserve"> </w:t>
      </w:r>
      <w:r>
        <w:rPr>
          <w:rStyle w:val="92"/>
          <w:rFonts w:hint="eastAsia"/>
          <w:sz w:val="32"/>
          <w:szCs w:val="32"/>
        </w:rPr>
        <w:t>北京标准化协会</w:t>
      </w:r>
      <w:r>
        <w:rPr>
          <w:rStyle w:val="92"/>
          <w:rFonts w:hint="eastAsia"/>
          <w:sz w:val="32"/>
          <w:szCs w:val="32"/>
          <w:lang w:val="en-US" w:eastAsia="zh-CN"/>
        </w:rPr>
        <w:t xml:space="preserve"> </w:t>
      </w:r>
      <w:r>
        <w:rPr>
          <w:rStyle w:val="92"/>
          <w:rFonts w:hint="eastAsia"/>
          <w:sz w:val="32"/>
          <w:szCs w:val="32"/>
        </w:rPr>
        <w:t>发布</w:t>
      </w:r>
    </w:p>
    <w:bookmarkEnd w:id="1"/>
    <w:p w14:paraId="6D3032B8">
      <w:pPr>
        <w:pStyle w:val="118"/>
        <w:framePr w:w="6229" w:wrap="around" w:x="3060" w:y="2000"/>
        <w:rPr>
          <w:rFonts w:ascii="Times New Roman" w:hAnsi="Times New Roman"/>
        </w:rPr>
      </w:pPr>
      <w:bookmarkStart w:id="2" w:name="_Hlk46753822"/>
      <w:r>
        <w:rPr>
          <w:sz w:val="72"/>
          <w:szCs w:val="72"/>
        </w:rPr>
        <w:t>团体标</w:t>
      </w:r>
      <w:r>
        <w:rPr>
          <w:rFonts w:ascii="Times New Roman" w:hAnsi="Times New Roman"/>
          <w:sz w:val="72"/>
          <w:szCs w:val="72"/>
        </w:rPr>
        <w:t>准</w:t>
      </w:r>
    </w:p>
    <w:bookmarkEnd w:id="2"/>
    <w:p w14:paraId="554E6C3E">
      <w:pPr>
        <w:pStyle w:val="24"/>
        <w:sectPr>
          <w:headerReference r:id="rId3" w:type="even"/>
          <w:footerReference r:id="rId4" w:type="even"/>
          <w:pgSz w:w="11906" w:h="16838"/>
          <w:pgMar w:top="567" w:right="1558" w:bottom="1134" w:left="1417" w:header="0" w:footer="0" w:gutter="0"/>
          <w:pgNumType w:start="1"/>
          <w:cols w:space="425" w:num="1"/>
          <w:docGrid w:type="lines" w:linePitch="312" w:charSpace="0"/>
        </w:sectPr>
      </w:pPr>
      <w:r>
        <w:rPr>
          <w:rFonts w:hint="eastAsia"/>
        </w:rPr>
        <mc:AlternateContent>
          <mc:Choice Requires="wps">
            <w:drawing>
              <wp:anchor distT="0" distB="0" distL="114300" distR="114300" simplePos="0" relativeHeight="251664384" behindDoc="1" locked="0" layoutInCell="1" allowOverlap="1">
                <wp:simplePos x="0" y="0"/>
                <wp:positionH relativeFrom="column">
                  <wp:posOffset>-66675</wp:posOffset>
                </wp:positionH>
                <wp:positionV relativeFrom="paragraph">
                  <wp:posOffset>396240</wp:posOffset>
                </wp:positionV>
                <wp:extent cx="866775" cy="198120"/>
                <wp:effectExtent l="0" t="0" r="9525" b="0"/>
                <wp:wrapNone/>
                <wp:docPr id="8" name="BAH"/>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BAH" o:spid="_x0000_s1026" o:spt="1" style="position:absolute;left:0pt;margin-left:-5.25pt;margin-top:31.2pt;height:15.6pt;width:68.25pt;z-index:-251652096;v-text-anchor:middle;mso-width-relative:page;mso-height-relative:page;" fillcolor="#FFFFFF" filled="t" stroked="f" coordsize="21600,21600" o:gfxdata="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tabbHNUAAAAJAQAA&#10;DwAAAAAAAAABACAAAAAiAAAAZHJzL2Rvd25yZXYueG1sUEsBAhQAFAAAAAgAh07iQL8IK5ZVAgAA&#10;vAQAAA4AAAAAAAAAAQAgAAAAJAEAAGRycy9lMm9Eb2MueG1sUEsFBgAAAAAGAAYAWQEAAOsFAAAA&#10;AA==&#10;">
                <v:fill on="t" focussize="0,0"/>
                <v:stroke on="f" weight="2pt"/>
                <v:imagedata o:title=""/>
                <o:lock v:ext="edit" aspectratio="f"/>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2339340</wp:posOffset>
                </wp:positionV>
                <wp:extent cx="6120130" cy="0"/>
                <wp:effectExtent l="0" t="0" r="33655" b="19050"/>
                <wp:wrapNone/>
                <wp:docPr id="4" name="直接连接符 4"/>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184.2pt;height:0pt;width:481.9pt;z-index:251662336;mso-width-relative:page;mso-height-relative:page;" filled="f" stroked="t" coordsize="21600,21600" o:gfxdata="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N3ymz1QAAAAgBAAAPAAAAAAAA&#10;AAEAIAAAACIAAABkcnMvZG93bnJldi54bWxQSwECFAAUAAAACACHTuJACfWKt9wBAACoAwAADgAA&#10;AAAAAAABACAAAAAkAQAAZHJzL2Uyb0RvYy54bWxQSwUGAAAAAAYABgBZAQAAcgUAAAAA&#10;">
                <v:fill on="f" focussize="0,0"/>
                <v:stroke color="#000000" joinstyle="round"/>
                <v:imagedata o:title=""/>
                <o:lock v:ext="edit" aspectratio="f"/>
              </v:line>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8891905</wp:posOffset>
                </wp:positionV>
                <wp:extent cx="6120130" cy="0"/>
                <wp:effectExtent l="0" t="0" r="33655" b="19050"/>
                <wp:wrapNone/>
                <wp:docPr id="3" name="直接连接符 3"/>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700.15pt;height:0pt;width:481.9pt;z-index:251661312;mso-width-relative:page;mso-height-relative:page;" filled="f" stroked="t" coordsize="21600,21600" o:gfxdata="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Dr9Go1QAAAAoBAAAPAAAAAAAA&#10;AAEAIAAAACIAAABkcnMvZG93bnJldi54bWxQSwECFAAUAAAACACHTuJAp7XnDdwBAACoAwAADgAA&#10;AAAAAAABACAAAAAkAQAAZHJzL2Uyb0RvYy54bWxQSwUGAAAAAAYABgBZAQAAcgUAAAAA&#10;">
                <v:fill on="f" focussize="0,0"/>
                <v:stroke color="#000000" joinstyle="round"/>
                <v:imagedata o:title=""/>
                <o:lock v:ext="edit" aspectratio="f"/>
              </v:line>
            </w:pict>
          </mc:Fallback>
        </mc:AlternateContent>
      </w:r>
    </w:p>
    <w:p w14:paraId="6C64673D">
      <w:pPr>
        <w:pStyle w:val="56"/>
        <w:spacing w:line="480" w:lineRule="auto"/>
        <w:outlineLvl w:val="9"/>
        <w:rPr>
          <w:rFonts w:ascii="Times New Roman" w:hAnsi="Times New Roman" w:eastAsia="宋体"/>
          <w:b/>
          <w:bCs/>
          <w:color w:val="000000"/>
          <w:sz w:val="24"/>
          <w:szCs w:val="24"/>
        </w:rPr>
      </w:pPr>
      <w:bookmarkStart w:id="3" w:name="_Toc59466659"/>
      <w:r>
        <w:rPr>
          <w:rFonts w:ascii="Times New Roman" w:hAnsi="Times New Roman" w:eastAsia="黑体"/>
          <w:b/>
          <w:bCs/>
          <w:color w:val="000000"/>
          <w:sz w:val="32"/>
          <w:szCs w:val="32"/>
        </w:rPr>
        <w:t>目  次</w:t>
      </w:r>
      <w:r>
        <w:rPr>
          <w:rFonts w:ascii="Times New Roman" w:hAnsi="Times New Roman" w:eastAsia="宋体"/>
          <w:b/>
          <w:bCs/>
          <w:color w:val="000000"/>
          <w:sz w:val="24"/>
          <w:szCs w:val="24"/>
        </w:rPr>
        <w:fldChar w:fldCharType="begin"/>
      </w:r>
      <w:r>
        <w:rPr>
          <w:rFonts w:ascii="Times New Roman" w:hAnsi="Times New Roman" w:eastAsia="宋体"/>
          <w:b/>
          <w:bCs/>
          <w:color w:val="000000"/>
          <w:sz w:val="24"/>
          <w:szCs w:val="24"/>
        </w:rPr>
        <w:instrText xml:space="preserve"> TOC \o "1-2" \h \z \u </w:instrText>
      </w:r>
      <w:r>
        <w:rPr>
          <w:rFonts w:ascii="Times New Roman" w:hAnsi="Times New Roman" w:eastAsia="宋体"/>
          <w:b/>
          <w:bCs/>
          <w:color w:val="000000"/>
          <w:sz w:val="24"/>
          <w:szCs w:val="24"/>
        </w:rPr>
        <w:fldChar w:fldCharType="separate"/>
      </w:r>
    </w:p>
    <w:sdt>
      <w:sdtPr>
        <w:rPr>
          <w:rFonts w:ascii="宋体" w:hAnsi="宋体" w:eastAsia="宋体" w:cs="Times New Roman"/>
          <w:kern w:val="2"/>
          <w:sz w:val="21"/>
          <w:szCs w:val="24"/>
          <w:lang w:val="en-US" w:eastAsia="zh-CN" w:bidi="ar-SA"/>
        </w:rPr>
        <w:id w:val="147462329"/>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4177C750">
          <w:pPr>
            <w:spacing w:before="0" w:beforeLines="0" w:after="0" w:afterLines="0" w:line="240" w:lineRule="auto"/>
            <w:ind w:left="0" w:leftChars="0" w:right="0" w:rightChars="0" w:firstLine="0" w:firstLineChars="0"/>
            <w:jc w:val="center"/>
          </w:pPr>
          <w:bookmarkStart w:id="79" w:name="_GoBack"/>
          <w:bookmarkEnd w:id="79"/>
        </w:p>
        <w:p w14:paraId="4D9E0F3C">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TOC \o "1-1" \h \u </w:instrText>
          </w:r>
          <w:r>
            <w:rPr>
              <w:rFonts w:hint="eastAsia" w:ascii="宋体" w:hAnsi="宋体" w:eastAsia="宋体" w:cs="宋体"/>
              <w:sz w:val="21"/>
              <w:szCs w:val="21"/>
            </w:rPr>
            <w:fldChar w:fldCharType="separate"/>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_Toc27495 </w:instrText>
          </w:r>
          <w:r>
            <w:rPr>
              <w:rFonts w:hint="eastAsia" w:ascii="宋体" w:hAnsi="宋体" w:eastAsia="宋体" w:cs="宋体"/>
              <w:sz w:val="21"/>
              <w:szCs w:val="21"/>
            </w:rPr>
            <w:fldChar w:fldCharType="separate"/>
          </w:r>
          <w:r>
            <w:rPr>
              <w:rFonts w:hint="eastAsia" w:ascii="宋体" w:hAnsi="宋体" w:eastAsia="宋体" w:cs="宋体"/>
              <w:bCs/>
              <w:sz w:val="21"/>
              <w:szCs w:val="21"/>
            </w:rPr>
            <w:t>前  言</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_Toc27495 \h </w:instrText>
          </w:r>
          <w:r>
            <w:rPr>
              <w:rFonts w:hint="eastAsia" w:ascii="宋体" w:hAnsi="宋体" w:eastAsia="宋体" w:cs="宋体"/>
              <w:sz w:val="21"/>
              <w:szCs w:val="21"/>
            </w:rPr>
            <w:fldChar w:fldCharType="separate"/>
          </w:r>
          <w:r>
            <w:rPr>
              <w:rFonts w:hint="eastAsia" w:ascii="宋体" w:hAnsi="宋体" w:eastAsia="宋体" w:cs="宋体"/>
              <w:sz w:val="21"/>
              <w:szCs w:val="21"/>
            </w:rPr>
            <w:t>II</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8D74496">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_Toc8486 </w:instrText>
          </w:r>
          <w:r>
            <w:rPr>
              <w:rFonts w:hint="eastAsia" w:ascii="宋体" w:hAnsi="宋体" w:eastAsia="宋体" w:cs="宋体"/>
              <w:sz w:val="21"/>
              <w:szCs w:val="21"/>
            </w:rPr>
            <w:fldChar w:fldCharType="separate"/>
          </w:r>
          <w:r>
            <w:rPr>
              <w:rFonts w:hint="eastAsia" w:ascii="宋体" w:hAnsi="宋体" w:eastAsia="宋体" w:cs="宋体"/>
              <w:bCs/>
              <w:sz w:val="21"/>
              <w:szCs w:val="21"/>
            </w:rPr>
            <w:t>引  言</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_Toc8486 \h </w:instrText>
          </w:r>
          <w:r>
            <w:rPr>
              <w:rFonts w:hint="eastAsia" w:ascii="宋体" w:hAnsi="宋体" w:eastAsia="宋体" w:cs="宋体"/>
              <w:sz w:val="21"/>
              <w:szCs w:val="21"/>
            </w:rPr>
            <w:fldChar w:fldCharType="separate"/>
          </w:r>
          <w:r>
            <w:rPr>
              <w:rFonts w:hint="eastAsia" w:ascii="宋体" w:hAnsi="宋体" w:eastAsia="宋体" w:cs="宋体"/>
              <w:sz w:val="21"/>
              <w:szCs w:val="21"/>
            </w:rPr>
            <w:t>III</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DB07C60">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_Toc1605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1  范围</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_Toc1605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2114C6F">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_Toc23299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2  规范性引用文件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_Toc23299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7390D6C">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_Toc19173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3  术语和定义</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_Toc19173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CF6DAC6">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_Toc410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4  认知障碍分级</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_Toc410 \h </w:instrText>
          </w:r>
          <w:r>
            <w:rPr>
              <w:rFonts w:hint="eastAsia" w:ascii="宋体" w:hAnsi="宋体" w:eastAsia="宋体" w:cs="宋体"/>
              <w:sz w:val="21"/>
              <w:szCs w:val="21"/>
            </w:rPr>
            <w:fldChar w:fldCharType="separate"/>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8BC6690">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_Toc6236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5  电子玩具分级</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_Toc6236 \h </w:instrText>
          </w:r>
          <w:r>
            <w:rPr>
              <w:rFonts w:hint="eastAsia" w:ascii="宋体" w:hAnsi="宋体" w:eastAsia="宋体" w:cs="宋体"/>
              <w:sz w:val="21"/>
              <w:szCs w:val="21"/>
            </w:rPr>
            <w:fldChar w:fldCharType="separate"/>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0E1E3DF">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_Toc31143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6  适配原则</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_Toc31143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EE367C7">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_Toc8834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7  适配</w:t>
          </w:r>
          <w:r>
            <w:rPr>
              <w:rFonts w:hint="eastAsia" w:ascii="宋体" w:hAnsi="宋体" w:eastAsia="宋体" w:cs="宋体"/>
              <w:bCs/>
              <w:i w:val="0"/>
              <w:sz w:val="21"/>
              <w:szCs w:val="21"/>
              <w:lang w:val="en-US" w:eastAsia="zh-CN"/>
            </w:rPr>
            <w:t>策略</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_Toc8834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B2ADF98">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_Toc18792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8  电子玩具设计需考虑的因素</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_Toc18792 \h </w:instrText>
          </w:r>
          <w:r>
            <w:rPr>
              <w:rFonts w:hint="eastAsia" w:ascii="宋体" w:hAnsi="宋体" w:eastAsia="宋体" w:cs="宋体"/>
              <w:sz w:val="21"/>
              <w:szCs w:val="21"/>
            </w:rPr>
            <w:fldChar w:fldCharType="separate"/>
          </w:r>
          <w:r>
            <w:rPr>
              <w:rFonts w:hint="eastAsia" w:ascii="宋体" w:hAnsi="宋体" w:eastAsia="宋体" w:cs="宋体"/>
              <w:sz w:val="21"/>
              <w:szCs w:val="21"/>
            </w:rPr>
            <w:t>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5B1BAFF">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_Toc6470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9  评估与验证</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_Toc6470 \h </w:instrText>
          </w:r>
          <w:r>
            <w:rPr>
              <w:rFonts w:hint="eastAsia" w:ascii="宋体" w:hAnsi="宋体" w:eastAsia="宋体" w:cs="宋体"/>
              <w:sz w:val="21"/>
              <w:szCs w:val="21"/>
            </w:rPr>
            <w:fldChar w:fldCharType="separate"/>
          </w:r>
          <w:r>
            <w:rPr>
              <w:rFonts w:hint="eastAsia" w:ascii="宋体" w:hAnsi="宋体" w:eastAsia="宋体" w:cs="宋体"/>
              <w:sz w:val="21"/>
              <w:szCs w:val="21"/>
            </w:rPr>
            <w:t>10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4C6669F">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_Toc8494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10  适配与使用管理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_Toc8494 \h </w:instrText>
          </w:r>
          <w:r>
            <w:rPr>
              <w:rFonts w:hint="eastAsia" w:ascii="宋体" w:hAnsi="宋体" w:eastAsia="宋体" w:cs="宋体"/>
              <w:sz w:val="21"/>
              <w:szCs w:val="21"/>
            </w:rPr>
            <w:fldChar w:fldCharType="separate"/>
          </w:r>
          <w:r>
            <w:rPr>
              <w:rFonts w:hint="eastAsia" w:ascii="宋体" w:hAnsi="宋体" w:eastAsia="宋体" w:cs="宋体"/>
              <w:sz w:val="21"/>
              <w:szCs w:val="21"/>
            </w:rPr>
            <w:t>11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3D7C40A">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_Toc4962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附  录 A</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_Toc4962 \h </w:instrText>
          </w:r>
          <w:r>
            <w:rPr>
              <w:rFonts w:hint="eastAsia" w:ascii="宋体" w:hAnsi="宋体" w:eastAsia="宋体" w:cs="宋体"/>
              <w:sz w:val="21"/>
              <w:szCs w:val="21"/>
            </w:rPr>
            <w:fldChar w:fldCharType="separate"/>
          </w:r>
          <w:r>
            <w:rPr>
              <w:rFonts w:hint="eastAsia" w:ascii="宋体" w:hAnsi="宋体" w:eastAsia="宋体" w:cs="宋体"/>
              <w:sz w:val="21"/>
              <w:szCs w:val="21"/>
            </w:rPr>
            <w:t>12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A32BE90">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_Toc3505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附  录 B</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_Toc3505 \h </w:instrText>
          </w:r>
          <w:r>
            <w:rPr>
              <w:rFonts w:hint="eastAsia" w:ascii="宋体" w:hAnsi="宋体" w:eastAsia="宋体" w:cs="宋体"/>
              <w:sz w:val="21"/>
              <w:szCs w:val="21"/>
            </w:rPr>
            <w:fldChar w:fldCharType="separate"/>
          </w:r>
          <w:r>
            <w:rPr>
              <w:rFonts w:hint="eastAsia" w:ascii="宋体" w:hAnsi="宋体" w:eastAsia="宋体" w:cs="宋体"/>
              <w:sz w:val="21"/>
              <w:szCs w:val="21"/>
            </w:rPr>
            <w:t>14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F2585BB">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_Toc8176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附  录 C</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_Toc8176 \h </w:instrText>
          </w:r>
          <w:r>
            <w:rPr>
              <w:rFonts w:hint="eastAsia" w:ascii="宋体" w:hAnsi="宋体" w:eastAsia="宋体" w:cs="宋体"/>
              <w:sz w:val="21"/>
              <w:szCs w:val="21"/>
            </w:rPr>
            <w:fldChar w:fldCharType="separate"/>
          </w:r>
          <w:r>
            <w:rPr>
              <w:rFonts w:hint="eastAsia" w:ascii="宋体" w:hAnsi="宋体" w:eastAsia="宋体" w:cs="宋体"/>
              <w:sz w:val="21"/>
              <w:szCs w:val="21"/>
            </w:rPr>
            <w:t>15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279D8F4">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_Toc18914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附  录 D</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_Toc18914 \h </w:instrText>
          </w:r>
          <w:r>
            <w:rPr>
              <w:rFonts w:hint="eastAsia" w:ascii="宋体" w:hAnsi="宋体" w:eastAsia="宋体" w:cs="宋体"/>
              <w:sz w:val="21"/>
              <w:szCs w:val="21"/>
            </w:rPr>
            <w:fldChar w:fldCharType="separate"/>
          </w:r>
          <w:r>
            <w:rPr>
              <w:rFonts w:hint="eastAsia" w:ascii="宋体" w:hAnsi="宋体" w:eastAsia="宋体" w:cs="宋体"/>
              <w:sz w:val="21"/>
              <w:szCs w:val="21"/>
            </w:rPr>
            <w:t>16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BD94867">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_Toc15730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附  录 E</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_Toc15730 \h </w:instrText>
          </w:r>
          <w:r>
            <w:rPr>
              <w:rFonts w:hint="eastAsia" w:ascii="宋体" w:hAnsi="宋体" w:eastAsia="宋体" w:cs="宋体"/>
              <w:sz w:val="21"/>
              <w:szCs w:val="21"/>
            </w:rPr>
            <w:fldChar w:fldCharType="separate"/>
          </w:r>
          <w:r>
            <w:rPr>
              <w:rFonts w:hint="eastAsia" w:ascii="宋体" w:hAnsi="宋体" w:eastAsia="宋体" w:cs="宋体"/>
              <w:sz w:val="21"/>
              <w:szCs w:val="21"/>
            </w:rPr>
            <w:t>17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F5CD95C">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_Toc5185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附  录 F</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_Toc5185 \h </w:instrText>
          </w:r>
          <w:r>
            <w:rPr>
              <w:rFonts w:hint="eastAsia" w:ascii="宋体" w:hAnsi="宋体" w:eastAsia="宋体" w:cs="宋体"/>
              <w:sz w:val="21"/>
              <w:szCs w:val="21"/>
            </w:rPr>
            <w:fldChar w:fldCharType="separate"/>
          </w:r>
          <w:r>
            <w:rPr>
              <w:rFonts w:hint="eastAsia" w:ascii="宋体" w:hAnsi="宋体" w:eastAsia="宋体" w:cs="宋体"/>
              <w:sz w:val="21"/>
              <w:szCs w:val="21"/>
            </w:rPr>
            <w:t>19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D1AEF10">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_Toc10822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附  录 G</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_Toc10822 \h </w:instrText>
          </w:r>
          <w:r>
            <w:rPr>
              <w:rFonts w:hint="eastAsia" w:ascii="宋体" w:hAnsi="宋体" w:eastAsia="宋体" w:cs="宋体"/>
              <w:sz w:val="21"/>
              <w:szCs w:val="21"/>
            </w:rPr>
            <w:fldChar w:fldCharType="separate"/>
          </w:r>
          <w:r>
            <w:rPr>
              <w:rFonts w:hint="eastAsia" w:ascii="宋体" w:hAnsi="宋体" w:eastAsia="宋体" w:cs="宋体"/>
              <w:sz w:val="21"/>
              <w:szCs w:val="21"/>
            </w:rPr>
            <w:t>20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D06F675">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_Toc19468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附  录 H</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_Toc19468 \h </w:instrText>
          </w:r>
          <w:r>
            <w:rPr>
              <w:rFonts w:hint="eastAsia" w:ascii="宋体" w:hAnsi="宋体" w:eastAsia="宋体" w:cs="宋体"/>
              <w:sz w:val="21"/>
              <w:szCs w:val="21"/>
            </w:rPr>
            <w:fldChar w:fldCharType="separate"/>
          </w:r>
          <w:r>
            <w:rPr>
              <w:rFonts w:hint="eastAsia" w:ascii="宋体" w:hAnsi="宋体" w:eastAsia="宋体" w:cs="宋体"/>
              <w:sz w:val="21"/>
              <w:szCs w:val="21"/>
            </w:rPr>
            <w:t>21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E8A329C">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_Toc25000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附  录 I</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_Toc25000 \h </w:instrText>
          </w:r>
          <w:r>
            <w:rPr>
              <w:rFonts w:hint="eastAsia" w:ascii="宋体" w:hAnsi="宋体" w:eastAsia="宋体" w:cs="宋体"/>
              <w:sz w:val="21"/>
              <w:szCs w:val="21"/>
            </w:rPr>
            <w:fldChar w:fldCharType="separate"/>
          </w:r>
          <w:r>
            <w:rPr>
              <w:rFonts w:hint="eastAsia" w:ascii="宋体" w:hAnsi="宋体" w:eastAsia="宋体" w:cs="宋体"/>
              <w:sz w:val="21"/>
              <w:szCs w:val="21"/>
            </w:rPr>
            <w:t>22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AA226C3">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_Toc31937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附  录 J</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_Toc31937 \h </w:instrText>
          </w:r>
          <w:r>
            <w:rPr>
              <w:rFonts w:hint="eastAsia" w:ascii="宋体" w:hAnsi="宋体" w:eastAsia="宋体" w:cs="宋体"/>
              <w:sz w:val="21"/>
              <w:szCs w:val="21"/>
            </w:rPr>
            <w:fldChar w:fldCharType="separate"/>
          </w:r>
          <w:r>
            <w:rPr>
              <w:rFonts w:hint="eastAsia" w:ascii="宋体" w:hAnsi="宋体" w:eastAsia="宋体" w:cs="宋体"/>
              <w:sz w:val="21"/>
              <w:szCs w:val="21"/>
            </w:rPr>
            <w:t>24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EE6CFD7">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_Toc29085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附  录 K</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_Toc29085 \h </w:instrText>
          </w:r>
          <w:r>
            <w:rPr>
              <w:rFonts w:hint="eastAsia" w:ascii="宋体" w:hAnsi="宋体" w:eastAsia="宋体" w:cs="宋体"/>
              <w:sz w:val="21"/>
              <w:szCs w:val="21"/>
            </w:rPr>
            <w:fldChar w:fldCharType="separate"/>
          </w:r>
          <w:r>
            <w:rPr>
              <w:rFonts w:hint="eastAsia" w:ascii="宋体" w:hAnsi="宋体" w:eastAsia="宋体" w:cs="宋体"/>
              <w:sz w:val="21"/>
              <w:szCs w:val="21"/>
            </w:rPr>
            <w:t>26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D4BA459">
          <w:pPr>
            <w:pStyle w:val="20"/>
            <w:tabs>
              <w:tab w:val="right" w:leader="dot" w:pos="8646"/>
              <w:tab w:val="clear" w:pos="9241"/>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_Toc29380 </w:instrText>
          </w:r>
          <w:r>
            <w:rPr>
              <w:rFonts w:hint="eastAsia" w:ascii="宋体" w:hAnsi="宋体" w:eastAsia="宋体" w:cs="宋体"/>
              <w:sz w:val="21"/>
              <w:szCs w:val="21"/>
            </w:rPr>
            <w:fldChar w:fldCharType="separate"/>
          </w:r>
          <w:r>
            <w:rPr>
              <w:rFonts w:hint="eastAsia" w:ascii="宋体" w:hAnsi="宋体" w:eastAsia="宋体" w:cs="宋体"/>
              <w:bCs/>
              <w:i w:val="0"/>
              <w:sz w:val="21"/>
              <w:szCs w:val="21"/>
            </w:rPr>
            <w:t>参  考  文  献</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_Toc29380 \h </w:instrText>
          </w:r>
          <w:r>
            <w:rPr>
              <w:rFonts w:hint="eastAsia" w:ascii="宋体" w:hAnsi="宋体" w:eastAsia="宋体" w:cs="宋体"/>
              <w:sz w:val="21"/>
              <w:szCs w:val="21"/>
            </w:rPr>
            <w:fldChar w:fldCharType="separate"/>
          </w:r>
          <w:r>
            <w:rPr>
              <w:rFonts w:hint="eastAsia" w:ascii="宋体" w:hAnsi="宋体" w:eastAsia="宋体" w:cs="宋体"/>
              <w:sz w:val="21"/>
              <w:szCs w:val="21"/>
            </w:rPr>
            <w:t>29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00281DD">
          <w:r>
            <w:rPr>
              <w:rFonts w:hint="eastAsia" w:ascii="宋体" w:hAnsi="宋体" w:eastAsia="宋体" w:cs="宋体"/>
              <w:sz w:val="21"/>
              <w:szCs w:val="21"/>
            </w:rPr>
            <w:fldChar w:fldCharType="end"/>
          </w:r>
        </w:p>
      </w:sdtContent>
    </w:sdt>
    <w:p w14:paraId="1EFC9F04">
      <w:pPr>
        <w:pStyle w:val="20"/>
        <w:tabs>
          <w:tab w:val="right" w:leader="dot" w:pos="9072"/>
          <w:tab w:val="clear" w:pos="9241"/>
        </w:tabs>
        <w:rPr>
          <w:rFonts w:hint="eastAsia"/>
          <w:lang w:val="en-US" w:eastAsia="zh-CN"/>
        </w:rPr>
      </w:pPr>
    </w:p>
    <w:p w14:paraId="02F157F0">
      <w:pPr>
        <w:pStyle w:val="24"/>
      </w:pPr>
      <w:r>
        <w:rPr>
          <w:rFonts w:ascii="Times New Roman" w:hAnsi="Times New Roman" w:eastAsia="宋体"/>
          <w:color w:val="000000"/>
          <w:sz w:val="24"/>
          <w:szCs w:val="24"/>
        </w:rPr>
        <w:fldChar w:fldCharType="end"/>
      </w:r>
      <w:r>
        <w:tab/>
      </w:r>
      <w:bookmarkStart w:id="4" w:name="_Toc27495"/>
      <w:bookmarkStart w:id="5" w:name="_Toc16907"/>
    </w:p>
    <w:p w14:paraId="2D4A90B8">
      <w:pPr>
        <w:pStyle w:val="24"/>
        <w:jc w:val="center"/>
      </w:pPr>
    </w:p>
    <w:p w14:paraId="70BD7F8C">
      <w:pPr>
        <w:pStyle w:val="24"/>
        <w:jc w:val="center"/>
        <w:rPr>
          <w:rFonts w:ascii="黑体" w:hAnsi="Times New Roman" w:eastAsia="黑体" w:cs="Times New Roman"/>
          <w:kern w:val="0"/>
          <w:sz w:val="32"/>
          <w:szCs w:val="20"/>
          <w:lang w:val="en-US" w:eastAsia="zh-CN" w:bidi="ar-SA"/>
        </w:rPr>
      </w:pPr>
      <w:r>
        <w:rPr>
          <w:rFonts w:ascii="黑体" w:hAnsi="Times New Roman" w:eastAsia="黑体" w:cs="Times New Roman"/>
          <w:kern w:val="0"/>
          <w:sz w:val="32"/>
          <w:szCs w:val="20"/>
          <w:lang w:val="en-US" w:eastAsia="zh-CN" w:bidi="ar-SA"/>
        </w:rPr>
        <w:t>前</w:t>
      </w:r>
      <w:r>
        <w:rPr>
          <w:rFonts w:hint="eastAsia" w:ascii="黑体" w:hAnsi="Times New Roman" w:eastAsia="黑体" w:cs="Times New Roman"/>
          <w:kern w:val="0"/>
          <w:sz w:val="32"/>
          <w:szCs w:val="20"/>
          <w:lang w:val="en-US" w:eastAsia="zh-CN" w:bidi="ar-SA"/>
        </w:rPr>
        <w:t xml:space="preserve"> </w:t>
      </w:r>
      <w:r>
        <w:rPr>
          <w:rFonts w:ascii="黑体" w:hAnsi="Times New Roman" w:eastAsia="黑体" w:cs="Times New Roman"/>
          <w:kern w:val="0"/>
          <w:sz w:val="32"/>
          <w:szCs w:val="20"/>
          <w:lang w:val="en-US" w:eastAsia="zh-CN" w:bidi="ar-SA"/>
        </w:rPr>
        <w:t xml:space="preserve"> 言</w:t>
      </w:r>
      <w:bookmarkEnd w:id="4"/>
      <w:bookmarkEnd w:id="5"/>
    </w:p>
    <w:p w14:paraId="3E69DC9C">
      <w:pPr>
        <w:pStyle w:val="24"/>
        <w:jc w:val="center"/>
        <w:rPr>
          <w:rFonts w:ascii="黑体" w:hAnsi="Times New Roman" w:eastAsia="黑体" w:cs="Times New Roman"/>
          <w:kern w:val="0"/>
          <w:sz w:val="32"/>
          <w:szCs w:val="20"/>
          <w:lang w:val="en-US" w:eastAsia="zh-CN" w:bidi="ar-SA"/>
        </w:rPr>
      </w:pPr>
    </w:p>
    <w:p w14:paraId="02BE348F">
      <w:pPr>
        <w:pStyle w:val="24"/>
        <w:rPr>
          <w:rFonts w:hint="eastAsia" w:hAnsi="宋体" w:eastAsia="宋体" w:cs="宋体"/>
          <w:color w:val="000000" w:themeColor="text1"/>
          <w14:textFill>
            <w14:solidFill>
              <w14:schemeClr w14:val="tx1"/>
            </w14:solidFill>
          </w14:textFill>
        </w:rPr>
      </w:pPr>
      <w:r>
        <w:rPr>
          <w:rFonts w:hint="eastAsia" w:hAnsi="宋体" w:eastAsia="宋体" w:cs="宋体"/>
          <w:color w:val="000000" w:themeColor="text1"/>
          <w14:textFill>
            <w14:solidFill>
              <w14:schemeClr w14:val="tx1"/>
            </w14:solidFill>
          </w14:textFill>
        </w:rPr>
        <w:t>本文件按照GB/T 1.1—2020《标准化工作导则 第1部分：标准化文件的结构和起草规则》的规定起草。</w:t>
      </w:r>
    </w:p>
    <w:p w14:paraId="5CC6765D">
      <w:pPr>
        <w:pStyle w:val="24"/>
        <w:rPr>
          <w:rFonts w:hint="eastAsia" w:hAnsi="宋体" w:eastAsia="宋体" w:cs="宋体"/>
          <w:color w:val="000000" w:themeColor="text1"/>
          <w14:textFill>
            <w14:solidFill>
              <w14:schemeClr w14:val="tx1"/>
            </w14:solidFill>
          </w14:textFill>
        </w:rPr>
      </w:pPr>
      <w:r>
        <w:rPr>
          <w:rFonts w:hint="eastAsia" w:hAnsi="宋体" w:eastAsia="宋体" w:cs="宋体"/>
          <w:color w:val="000000" w:themeColor="text1"/>
          <w14:textFill>
            <w14:solidFill>
              <w14:schemeClr w14:val="tx1"/>
            </w14:solidFill>
          </w14:textFill>
        </w:rPr>
        <w:t>请注意本文件的某些内容可能涉及专利。本文件的发布机构不承担识别专利的责任。</w:t>
      </w:r>
    </w:p>
    <w:p w14:paraId="57A6BDCE">
      <w:pPr>
        <w:pStyle w:val="24"/>
        <w:rPr>
          <w:rFonts w:hint="eastAsia" w:hAnsi="宋体" w:eastAsia="宋体" w:cs="宋体"/>
          <w:color w:val="000000" w:themeColor="text1"/>
          <w14:textFill>
            <w14:solidFill>
              <w14:schemeClr w14:val="tx1"/>
            </w14:solidFill>
          </w14:textFill>
        </w:rPr>
      </w:pPr>
      <w:r>
        <w:rPr>
          <w:rFonts w:hint="eastAsia" w:hAnsi="宋体" w:eastAsia="宋体" w:cs="宋体"/>
          <w:color w:val="000000" w:themeColor="text1"/>
          <w14:textFill>
            <w14:solidFill>
              <w14:schemeClr w14:val="tx1"/>
            </w14:solidFill>
          </w14:textFill>
        </w:rPr>
        <w:t>本文件由北京标准化协会提出并归口。</w:t>
      </w:r>
    </w:p>
    <w:p w14:paraId="29936B54">
      <w:pPr>
        <w:pStyle w:val="24"/>
        <w:rPr>
          <w:rFonts w:hint="eastAsia" w:hAnsi="宋体" w:eastAsia="宋体" w:cs="宋体"/>
          <w:color w:val="000000" w:themeColor="text1"/>
          <w14:textFill>
            <w14:solidFill>
              <w14:schemeClr w14:val="tx1"/>
            </w14:solidFill>
          </w14:textFill>
        </w:rPr>
      </w:pPr>
      <w:r>
        <w:rPr>
          <w:rFonts w:hint="eastAsia" w:hAnsi="宋体" w:eastAsia="宋体" w:cs="宋体"/>
          <w:color w:val="000000" w:themeColor="text1"/>
          <w14:textFill>
            <w14:solidFill>
              <w14:schemeClr w14:val="tx1"/>
            </w14:solidFill>
          </w14:textFill>
        </w:rPr>
        <w:t>本文件起草单位：</w:t>
      </w:r>
    </w:p>
    <w:p w14:paraId="2B7F3BC2">
      <w:pPr>
        <w:pStyle w:val="24"/>
        <w:rPr>
          <w:rFonts w:hint="eastAsia" w:hAnsi="宋体" w:eastAsia="宋体" w:cs="宋体"/>
          <w:color w:val="000000" w:themeColor="text1"/>
          <w:lang w:val="en-US" w:eastAsia="zh-CN"/>
          <w14:textFill>
            <w14:solidFill>
              <w14:schemeClr w14:val="tx1"/>
            </w14:solidFill>
          </w14:textFill>
        </w:rPr>
      </w:pPr>
      <w:r>
        <w:rPr>
          <w:rFonts w:hint="eastAsia" w:hAnsi="宋体" w:eastAsia="宋体" w:cs="宋体"/>
          <w:color w:val="000000" w:themeColor="text1"/>
          <w14:textFill>
            <w14:solidFill>
              <w14:schemeClr w14:val="tx1"/>
            </w14:solidFill>
          </w14:textFill>
        </w:rPr>
        <w:t>本文件主要起草人：</w:t>
      </w:r>
    </w:p>
    <w:p w14:paraId="41027200">
      <w:pPr>
        <w:pStyle w:val="56"/>
        <w:keepNext/>
        <w:keepLines w:val="0"/>
        <w:pageBreakBefore/>
        <w:widowControl/>
        <w:kinsoku/>
        <w:wordWrap/>
        <w:overflowPunct/>
        <w:topLinePunct w:val="0"/>
        <w:autoSpaceDE/>
        <w:autoSpaceDN/>
        <w:bidi w:val="0"/>
        <w:adjustRightInd/>
        <w:snapToGrid/>
        <w:spacing w:line="480" w:lineRule="auto"/>
        <w:textAlignment w:val="auto"/>
        <w:outlineLvl w:val="0"/>
      </w:pPr>
      <w:bookmarkStart w:id="6" w:name="_Toc30582"/>
      <w:bookmarkStart w:id="7" w:name="_Toc8486"/>
      <w:r>
        <w:rPr>
          <w:rFonts w:ascii="Times New Roman" w:hAnsi="Times New Roman" w:eastAsia="黑体"/>
          <w:b/>
          <w:bCs/>
          <w:color w:val="000000"/>
          <w:sz w:val="32"/>
          <w:szCs w:val="32"/>
        </w:rPr>
        <w:t>引  言</w:t>
      </w:r>
      <w:bookmarkEnd w:id="6"/>
      <w:bookmarkEnd w:id="7"/>
    </w:p>
    <w:p w14:paraId="12389F7B">
      <w:pPr>
        <w:pStyle w:val="24"/>
        <w:spacing w:line="360" w:lineRule="auto"/>
        <w:ind w:firstLine="420"/>
        <w:rPr>
          <w:sz w:val="21"/>
          <w:szCs w:val="21"/>
        </w:rPr>
      </w:pPr>
      <w:r>
        <w:rPr>
          <w:rFonts w:ascii="Times New Roman" w:hAnsi="Times New Roman" w:eastAsia="宋体"/>
          <w:color w:val="000000"/>
          <w:sz w:val="21"/>
          <w:szCs w:val="21"/>
        </w:rPr>
        <w:t>随着人口老龄化进程加快，认知障碍人群数量持续增长。电子玩具作为认知训练与情感支持的重要载体，在认知障碍人群的康复照护中应用日益广泛。然而，市场上电子玩具种类繁多、复杂程度各异，认知障碍人群因认知功能受损程度不同，对电子玩具的适配需求存在显著差异，实践中缺乏系统的分级适配指导。</w:t>
      </w:r>
    </w:p>
    <w:p w14:paraId="4E8DE8F4">
      <w:pPr>
        <w:pStyle w:val="24"/>
        <w:spacing w:line="360" w:lineRule="auto"/>
        <w:ind w:firstLine="420"/>
        <w:rPr>
          <w:sz w:val="21"/>
          <w:szCs w:val="21"/>
        </w:rPr>
      </w:pPr>
      <w:r>
        <w:rPr>
          <w:rFonts w:ascii="Times New Roman" w:hAnsi="Times New Roman" w:eastAsia="宋体"/>
          <w:color w:val="000000"/>
          <w:sz w:val="21"/>
          <w:szCs w:val="21"/>
        </w:rPr>
        <w:t>为帮助研发、生产、评估、适配及服务机构科学地进行电子玩具的分级适配，提升认知障碍人群的生活质量，制定本文件。</w:t>
      </w:r>
    </w:p>
    <w:p w14:paraId="1EE108AA">
      <w:pPr>
        <w:widowControl/>
        <w:jc w:val="left"/>
        <w:rPr>
          <w:rFonts w:ascii="黑体" w:eastAsia="黑体"/>
          <w:kern w:val="0"/>
          <w:sz w:val="32"/>
          <w:szCs w:val="20"/>
        </w:rPr>
      </w:pPr>
    </w:p>
    <w:p w14:paraId="094F9B49">
      <w:pPr>
        <w:bidi w:val="0"/>
        <w:rPr>
          <w:rFonts w:ascii="Times New Roman" w:hAnsi="Times New Roman" w:eastAsia="宋体" w:cs="Times New Roman"/>
          <w:kern w:val="2"/>
          <w:sz w:val="21"/>
          <w:szCs w:val="24"/>
          <w:lang w:val="en-US" w:eastAsia="zh-CN" w:bidi="ar-SA"/>
        </w:rPr>
      </w:pPr>
    </w:p>
    <w:p w14:paraId="2C673CA5">
      <w:pPr>
        <w:bidi w:val="0"/>
        <w:rPr>
          <w:lang w:val="en-US" w:eastAsia="zh-CN"/>
        </w:rPr>
      </w:pPr>
    </w:p>
    <w:p w14:paraId="3D4DDA48">
      <w:pPr>
        <w:bidi w:val="0"/>
        <w:rPr>
          <w:lang w:val="en-US" w:eastAsia="zh-CN"/>
        </w:rPr>
      </w:pPr>
    </w:p>
    <w:p w14:paraId="459DF1B8">
      <w:pPr>
        <w:bidi w:val="0"/>
        <w:rPr>
          <w:lang w:val="en-US" w:eastAsia="zh-CN"/>
        </w:rPr>
      </w:pPr>
    </w:p>
    <w:p w14:paraId="777F320C">
      <w:pPr>
        <w:bidi w:val="0"/>
        <w:rPr>
          <w:lang w:val="en-US" w:eastAsia="zh-CN"/>
        </w:rPr>
      </w:pPr>
    </w:p>
    <w:p w14:paraId="75ADACE3">
      <w:pPr>
        <w:bidi w:val="0"/>
        <w:rPr>
          <w:lang w:val="en-US" w:eastAsia="zh-CN"/>
        </w:rPr>
      </w:pPr>
    </w:p>
    <w:p w14:paraId="15863B6A">
      <w:pPr>
        <w:bidi w:val="0"/>
        <w:rPr>
          <w:lang w:val="en-US" w:eastAsia="zh-CN"/>
        </w:rPr>
      </w:pPr>
    </w:p>
    <w:p w14:paraId="381A0601">
      <w:pPr>
        <w:bidi w:val="0"/>
        <w:rPr>
          <w:lang w:val="en-US" w:eastAsia="zh-CN"/>
        </w:rPr>
      </w:pPr>
    </w:p>
    <w:p w14:paraId="12A04592">
      <w:pPr>
        <w:bidi w:val="0"/>
        <w:rPr>
          <w:lang w:val="en-US" w:eastAsia="zh-CN"/>
        </w:rPr>
      </w:pPr>
    </w:p>
    <w:p w14:paraId="23004AB0">
      <w:pPr>
        <w:bidi w:val="0"/>
        <w:rPr>
          <w:lang w:val="en-US" w:eastAsia="zh-CN"/>
        </w:rPr>
      </w:pPr>
    </w:p>
    <w:p w14:paraId="6684D1E7">
      <w:pPr>
        <w:bidi w:val="0"/>
        <w:rPr>
          <w:lang w:val="en-US" w:eastAsia="zh-CN"/>
        </w:rPr>
      </w:pPr>
    </w:p>
    <w:p w14:paraId="127C9978">
      <w:pPr>
        <w:bidi w:val="0"/>
        <w:rPr>
          <w:lang w:val="en-US" w:eastAsia="zh-CN"/>
        </w:rPr>
      </w:pPr>
    </w:p>
    <w:p w14:paraId="624FB35F">
      <w:pPr>
        <w:bidi w:val="0"/>
        <w:rPr>
          <w:lang w:val="en-US" w:eastAsia="zh-CN"/>
        </w:rPr>
      </w:pPr>
    </w:p>
    <w:p w14:paraId="27217179">
      <w:pPr>
        <w:bidi w:val="0"/>
        <w:rPr>
          <w:lang w:val="en-US" w:eastAsia="zh-CN"/>
        </w:rPr>
      </w:pPr>
    </w:p>
    <w:p w14:paraId="46867BE4">
      <w:pPr>
        <w:bidi w:val="0"/>
        <w:rPr>
          <w:lang w:val="en-US" w:eastAsia="zh-CN"/>
        </w:rPr>
      </w:pPr>
    </w:p>
    <w:p w14:paraId="2A6A6316">
      <w:pPr>
        <w:bidi w:val="0"/>
        <w:rPr>
          <w:lang w:val="en-US" w:eastAsia="zh-CN"/>
        </w:rPr>
      </w:pPr>
    </w:p>
    <w:p w14:paraId="1464DB9A">
      <w:pPr>
        <w:bidi w:val="0"/>
        <w:rPr>
          <w:lang w:val="en-US" w:eastAsia="zh-CN"/>
        </w:rPr>
      </w:pPr>
    </w:p>
    <w:p w14:paraId="46099C7C">
      <w:pPr>
        <w:bidi w:val="0"/>
        <w:rPr>
          <w:lang w:val="en-US" w:eastAsia="zh-CN"/>
        </w:rPr>
      </w:pPr>
    </w:p>
    <w:p w14:paraId="1368860C">
      <w:pPr>
        <w:bidi w:val="0"/>
        <w:rPr>
          <w:lang w:val="en-US" w:eastAsia="zh-CN"/>
        </w:rPr>
      </w:pPr>
    </w:p>
    <w:p w14:paraId="672ED1AC">
      <w:pPr>
        <w:bidi w:val="0"/>
        <w:rPr>
          <w:lang w:val="en-US" w:eastAsia="zh-CN"/>
        </w:rPr>
      </w:pPr>
    </w:p>
    <w:p w14:paraId="5B156D6D">
      <w:pPr>
        <w:bidi w:val="0"/>
        <w:rPr>
          <w:lang w:val="en-US" w:eastAsia="zh-CN"/>
        </w:rPr>
      </w:pPr>
    </w:p>
    <w:p w14:paraId="5CE5DBC7">
      <w:pPr>
        <w:bidi w:val="0"/>
        <w:rPr>
          <w:lang w:val="en-US" w:eastAsia="zh-CN"/>
        </w:rPr>
      </w:pPr>
    </w:p>
    <w:p w14:paraId="37628206">
      <w:pPr>
        <w:bidi w:val="0"/>
        <w:rPr>
          <w:lang w:val="en-US" w:eastAsia="zh-CN"/>
        </w:rPr>
      </w:pPr>
    </w:p>
    <w:p w14:paraId="51E40DFF">
      <w:pPr>
        <w:bidi w:val="0"/>
        <w:rPr>
          <w:lang w:val="en-US" w:eastAsia="zh-CN"/>
        </w:rPr>
      </w:pPr>
    </w:p>
    <w:p w14:paraId="220CDFAB">
      <w:pPr>
        <w:tabs>
          <w:tab w:val="left" w:pos="712"/>
        </w:tabs>
        <w:bidi w:val="0"/>
        <w:spacing w:line="360" w:lineRule="auto"/>
        <w:jc w:val="left"/>
        <w:rPr>
          <w:lang w:val="en-US" w:eastAsia="zh-CN"/>
        </w:rPr>
        <w:sectPr>
          <w:headerReference r:id="rId5" w:type="default"/>
          <w:footerReference r:id="rId7" w:type="default"/>
          <w:headerReference r:id="rId6" w:type="even"/>
          <w:footerReference r:id="rId8" w:type="even"/>
          <w:pgSz w:w="12240" w:h="15840"/>
          <w:pgMar w:top="1440" w:right="1797" w:bottom="1440" w:left="1797" w:header="720" w:footer="720" w:gutter="0"/>
          <w:pgNumType w:fmt="upperRoman" w:start="1"/>
          <w:cols w:space="425" w:num="1"/>
          <w:formProt w:val="0"/>
          <w:docGrid w:type="lines" w:linePitch="312" w:charSpace="0"/>
        </w:sectPr>
      </w:pPr>
    </w:p>
    <w:p w14:paraId="38C085A5">
      <w:pPr>
        <w:pStyle w:val="142"/>
        <w:shd w:val="clear" w:color="FFFFFF" w:fill="FFFFFF"/>
      </w:pPr>
      <w:r>
        <w:rPr>
          <w:rFonts w:hint="eastAsia"/>
        </w:rPr>
        <w:t>针对认知障碍人群的电子玩具分级适配指南</w:t>
      </w:r>
    </w:p>
    <w:p w14:paraId="018441DB">
      <w:pPr>
        <w:pStyle w:val="51"/>
        <w:spacing w:before="312" w:after="312"/>
      </w:pPr>
      <w:bookmarkStart w:id="8" w:name="_Toc24444"/>
      <w:bookmarkStart w:id="9" w:name="_Toc1605"/>
      <w:r>
        <w:t>范围</w:t>
      </w:r>
      <w:bookmarkEnd w:id="8"/>
      <w:bookmarkEnd w:id="9"/>
    </w:p>
    <w:p w14:paraId="30ACF805">
      <w:pPr>
        <w:pStyle w:val="24"/>
        <w:rPr>
          <w:rFonts w:hint="eastAsia"/>
        </w:rPr>
      </w:pPr>
      <w:r>
        <w:rPr>
          <w:rFonts w:hint="eastAsia"/>
        </w:rPr>
        <w:t>本文件提供了针对认知障碍人群的电子玩具分级适配的指导，给出了认知障碍分级、电子玩具分级、适配原则、适配策略、电子玩具设计需考虑的因素、评估与验证、适配与使用管理等方面的建议。</w:t>
      </w:r>
    </w:p>
    <w:p w14:paraId="77E89BD3">
      <w:pPr>
        <w:pStyle w:val="24"/>
        <w:rPr>
          <w:rFonts w:hint="eastAsia"/>
        </w:rPr>
      </w:pPr>
      <w:r>
        <w:rPr>
          <w:rFonts w:hint="eastAsia"/>
        </w:rPr>
        <w:t>本文件适用于认知障碍人群（包括阿尔茨海默病患者、血管性认知障碍患者、轻度认知障碍患者等）使用的电子玩具的研发、生产、评估、适配及服务机构。本文件也可为照护者、康复治疗师、社会工作者等提供电子玩具选择与使用的技术依据。</w:t>
      </w:r>
    </w:p>
    <w:p w14:paraId="7072F6A6">
      <w:pPr>
        <w:pStyle w:val="51"/>
        <w:spacing w:before="312" w:after="312"/>
      </w:pPr>
      <w:bookmarkStart w:id="10" w:name="_Toc23299"/>
      <w:bookmarkStart w:id="11" w:name="_Toc31302"/>
      <w:r>
        <w:t>规范性引用文件</w:t>
      </w:r>
      <w:bookmarkEnd w:id="10"/>
      <w:bookmarkEnd w:id="11"/>
    </w:p>
    <w:p w14:paraId="4E8E8732">
      <w:pPr>
        <w:pStyle w:val="24"/>
        <w:rPr>
          <w:rFonts w:hint="eastAsia"/>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0AC24F13">
      <w:pPr>
        <w:pStyle w:val="24"/>
        <w:rPr>
          <w:rFonts w:hint="eastAsia"/>
        </w:rPr>
      </w:pPr>
      <w:r>
        <w:rPr>
          <w:rFonts w:hint="eastAsia"/>
        </w:rPr>
        <w:t>GB 6675.1  玩具安全  第1部分：基本规范</w:t>
      </w:r>
    </w:p>
    <w:p w14:paraId="0B372089">
      <w:pPr>
        <w:pStyle w:val="24"/>
        <w:rPr>
          <w:rFonts w:hint="eastAsia"/>
        </w:rPr>
      </w:pPr>
      <w:r>
        <w:rPr>
          <w:rFonts w:hint="eastAsia"/>
        </w:rPr>
        <w:t>GB 6675.2  玩具安全  第2部分：机械与物理性能</w:t>
      </w:r>
    </w:p>
    <w:p w14:paraId="2BBD13A3">
      <w:pPr>
        <w:pStyle w:val="24"/>
        <w:rPr>
          <w:rFonts w:hint="default"/>
          <w:lang w:val="en-US" w:eastAsia="zh-CN"/>
        </w:rPr>
      </w:pPr>
      <w:r>
        <w:rPr>
          <w:rFonts w:hint="eastAsia"/>
        </w:rPr>
        <w:t>GB/T 26341  残疾人残疾分类和分级</w:t>
      </w:r>
    </w:p>
    <w:p w14:paraId="239BDDDE">
      <w:pPr>
        <w:pStyle w:val="51"/>
        <w:spacing w:before="312" w:after="312"/>
      </w:pPr>
      <w:bookmarkStart w:id="12" w:name="_Toc11849"/>
      <w:bookmarkStart w:id="13" w:name="_Toc19173"/>
      <w:r>
        <w:t>术语和定义</w:t>
      </w:r>
      <w:bookmarkEnd w:id="12"/>
      <w:bookmarkEnd w:id="13"/>
    </w:p>
    <w:p w14:paraId="118F6992">
      <w:pPr>
        <w:pStyle w:val="24"/>
        <w:rPr>
          <w:rFonts w:hint="eastAsia"/>
        </w:rPr>
      </w:pPr>
      <w:r>
        <w:rPr>
          <w:rFonts w:hint="eastAsia"/>
        </w:rPr>
        <w:t>GB/T 26341界定的以及下列术语和定义适用于本文件。</w:t>
      </w:r>
    </w:p>
    <w:p w14:paraId="6014116C">
      <w:pPr>
        <w:pStyle w:val="50"/>
        <w:bidi w:val="0"/>
        <w:ind w:left="0" w:leftChars="0" w:firstLine="0" w:firstLineChars="0"/>
      </w:pPr>
      <w:bookmarkStart w:id="14" w:name="_Toc20045"/>
      <w:r>
        <w:t xml:space="preserve"> </w:t>
      </w:r>
    </w:p>
    <w:p w14:paraId="1AFBBA86">
      <w:pPr>
        <w:pStyle w:val="24"/>
        <w:rPr>
          <w:rFonts w:ascii="黑体" w:hAnsi="黑体" w:eastAsia="黑体"/>
        </w:rPr>
      </w:pPr>
      <w:r>
        <w:rPr>
          <w:rFonts w:ascii="黑体" w:hAnsi="黑体" w:eastAsia="黑体"/>
        </w:rPr>
        <w:t>认知障碍</w:t>
      </w:r>
      <w:r>
        <w:rPr>
          <w:rFonts w:hint="eastAsia" w:ascii="黑体" w:hAnsi="黑体" w:eastAsia="黑体"/>
          <w:lang w:val="en-US" w:eastAsia="zh-CN"/>
        </w:rPr>
        <w:t xml:space="preserve"> </w:t>
      </w:r>
      <w:r>
        <w:rPr>
          <w:rFonts w:ascii="黑体" w:hAnsi="黑体" w:eastAsia="黑体"/>
        </w:rPr>
        <w:t>cognitive impairment</w:t>
      </w:r>
      <w:bookmarkEnd w:id="14"/>
    </w:p>
    <w:p w14:paraId="59A8C83A">
      <w:pPr>
        <w:pStyle w:val="24"/>
      </w:pPr>
      <w:r>
        <w:t>因神经系统疾病、脑部损伤、衰老或其他原因导致的注意、记忆、语言、</w:t>
      </w:r>
      <w:r>
        <w:rPr>
          <w:rFonts w:hint="eastAsia"/>
          <w:lang w:val="en-US" w:eastAsia="zh-CN"/>
        </w:rPr>
        <w:t>学习、</w:t>
      </w:r>
      <w:r>
        <w:t>执行</w:t>
      </w:r>
      <w:r>
        <w:rPr>
          <w:rFonts w:hint="eastAsia"/>
          <w:lang w:eastAsia="zh-CN"/>
        </w:rPr>
        <w:t>、</w:t>
      </w:r>
      <w:r>
        <w:t>视空间能力</w:t>
      </w:r>
      <w:r>
        <w:rPr>
          <w:rFonts w:hint="eastAsia"/>
          <w:lang w:val="en-US" w:eastAsia="zh-CN"/>
        </w:rPr>
        <w:t>和社会认知</w:t>
      </w:r>
      <w:r>
        <w:t>功能等一个或多个认知域功能下降的状态。</w:t>
      </w:r>
    </w:p>
    <w:p w14:paraId="6F44CE12">
      <w:pPr>
        <w:pStyle w:val="24"/>
        <w:rPr>
          <w:rFonts w:hint="eastAsia"/>
          <w:sz w:val="18"/>
          <w:szCs w:val="18"/>
          <w:lang w:val="en-US" w:eastAsia="zh-CN"/>
        </w:rPr>
      </w:pPr>
      <w:r>
        <w:rPr>
          <w:rFonts w:hint="eastAsia"/>
          <w:sz w:val="18"/>
          <w:szCs w:val="18"/>
          <w:lang w:val="en-US" w:eastAsia="zh-CN"/>
        </w:rPr>
        <w:t>注：DSM-5（《精神障碍诊断与统计手册》第5版）将认知功能划分为复合性注意、执行功能、学习和记忆、语言、知觉-运动功能、社会认知六个核心认知域，任何单一或多个认知域出现功能下降均可构成认知障碍的诊断依据。</w:t>
      </w:r>
    </w:p>
    <w:p w14:paraId="74D30847">
      <w:pPr>
        <w:pStyle w:val="50"/>
        <w:bidi w:val="0"/>
        <w:ind w:left="0" w:leftChars="0" w:firstLine="0" w:firstLineChars="0"/>
      </w:pPr>
      <w:bookmarkStart w:id="15" w:name="_Toc7815"/>
      <w:r>
        <w:t xml:space="preserve"> </w:t>
      </w:r>
    </w:p>
    <w:p w14:paraId="75B92497">
      <w:pPr>
        <w:pStyle w:val="24"/>
        <w:rPr>
          <w:rFonts w:ascii="黑体" w:hAnsi="黑体" w:eastAsia="黑体"/>
        </w:rPr>
      </w:pPr>
      <w:r>
        <w:rPr>
          <w:rFonts w:ascii="黑体" w:hAnsi="黑体" w:eastAsia="黑体"/>
        </w:rPr>
        <w:t>电子玩具</w:t>
      </w:r>
      <w:r>
        <w:rPr>
          <w:rFonts w:hint="eastAsia" w:ascii="黑体" w:hAnsi="黑体" w:eastAsia="黑体"/>
          <w:lang w:val="en-US" w:eastAsia="zh-CN"/>
        </w:rPr>
        <w:t xml:space="preserve"> </w:t>
      </w:r>
      <w:r>
        <w:rPr>
          <w:rFonts w:ascii="黑体" w:hAnsi="黑体" w:eastAsia="黑体"/>
        </w:rPr>
        <w:t>electronic toy</w:t>
      </w:r>
      <w:bookmarkEnd w:id="15"/>
    </w:p>
    <w:p w14:paraId="2CAFEB21">
      <w:pPr>
        <w:pStyle w:val="24"/>
      </w:pPr>
      <w:r>
        <w:t>以电子技术为核心，通过声、光、电、磁等物理效应实现互动功能，供认知障碍人群进行认知训练、感官刺激、情绪调节或社会交往的器具、装置或设备。</w:t>
      </w:r>
    </w:p>
    <w:p w14:paraId="4F2CEFF5">
      <w:pPr>
        <w:pStyle w:val="50"/>
        <w:bidi w:val="0"/>
        <w:ind w:left="0" w:leftChars="0" w:firstLine="0" w:firstLineChars="0"/>
      </w:pPr>
      <w:bookmarkStart w:id="16" w:name="_Toc12218"/>
      <w:r>
        <w:t xml:space="preserve"> </w:t>
      </w:r>
    </w:p>
    <w:p w14:paraId="524235E9">
      <w:pPr>
        <w:pStyle w:val="24"/>
        <w:rPr>
          <w:rFonts w:ascii="黑体" w:hAnsi="黑体" w:eastAsia="黑体"/>
        </w:rPr>
      </w:pPr>
      <w:r>
        <w:rPr>
          <w:rFonts w:ascii="黑体" w:hAnsi="黑体" w:eastAsia="黑体"/>
        </w:rPr>
        <w:t>分级适配</w:t>
      </w:r>
      <w:r>
        <w:rPr>
          <w:rFonts w:hint="eastAsia" w:ascii="黑体" w:hAnsi="黑体" w:eastAsia="黑体"/>
          <w:lang w:val="en-US" w:eastAsia="zh-CN"/>
        </w:rPr>
        <w:t xml:space="preserve"> </w:t>
      </w:r>
      <w:r>
        <w:rPr>
          <w:rFonts w:ascii="黑体" w:hAnsi="黑体" w:eastAsia="黑体"/>
        </w:rPr>
        <w:t>graded adaptation</w:t>
      </w:r>
      <w:bookmarkEnd w:id="16"/>
    </w:p>
    <w:p w14:paraId="607FED1B">
      <w:pPr>
        <w:pStyle w:val="24"/>
      </w:pPr>
      <w:r>
        <w:t>根据认知障碍人群的功能状态、认知能力水平及个体需求，将电子玩具按照功能复杂程度、操作难度、认知负荷等维度进行分级，并匹配至相应认知障碍等级的适配过程。</w:t>
      </w:r>
    </w:p>
    <w:p w14:paraId="7D9CB024">
      <w:pPr>
        <w:pStyle w:val="50"/>
        <w:bidi w:val="0"/>
        <w:ind w:left="0" w:leftChars="0" w:firstLine="0" w:firstLineChars="0"/>
      </w:pPr>
      <w:bookmarkStart w:id="17" w:name="_Toc32366"/>
      <w:r>
        <w:t xml:space="preserve"> </w:t>
      </w:r>
    </w:p>
    <w:p w14:paraId="423A9DA9">
      <w:pPr>
        <w:pStyle w:val="24"/>
        <w:rPr>
          <w:rFonts w:ascii="黑体" w:hAnsi="黑体" w:eastAsia="黑体"/>
        </w:rPr>
      </w:pPr>
      <w:r>
        <w:rPr>
          <w:rFonts w:ascii="黑体" w:hAnsi="黑体" w:eastAsia="黑体"/>
        </w:rPr>
        <w:t>认知负荷</w:t>
      </w:r>
      <w:r>
        <w:rPr>
          <w:rFonts w:hint="eastAsia" w:ascii="黑体" w:hAnsi="黑体" w:eastAsia="黑体"/>
          <w:lang w:val="en-US" w:eastAsia="zh-CN"/>
        </w:rPr>
        <w:t xml:space="preserve"> </w:t>
      </w:r>
      <w:r>
        <w:rPr>
          <w:rFonts w:ascii="黑体" w:hAnsi="黑体" w:eastAsia="黑体"/>
        </w:rPr>
        <w:t>cognitive load</w:t>
      </w:r>
      <w:bookmarkEnd w:id="17"/>
    </w:p>
    <w:p w14:paraId="3BD6B764">
      <w:pPr>
        <w:pStyle w:val="24"/>
        <w:rPr>
          <w:rFonts w:hint="eastAsia"/>
          <w:lang w:eastAsia="zh-CN"/>
        </w:rPr>
      </w:pPr>
      <w:r>
        <w:rPr>
          <w:rFonts w:hint="eastAsia"/>
          <w:lang w:val="en-US" w:eastAsia="zh-CN"/>
        </w:rPr>
        <w:t>个体在完成特定认知任务或操作电子玩具过程中，其工作记忆所承受的信息处理压力或资源占用程度。</w:t>
      </w:r>
    </w:p>
    <w:p w14:paraId="2D445903">
      <w:pPr>
        <w:keepLines w:val="0"/>
        <w:spacing w:before="0" w:after="0" w:line="360" w:lineRule="auto"/>
        <w:jc w:val="left"/>
      </w:pPr>
      <w:r>
        <w:rPr>
          <w:rFonts w:hint="eastAsia" w:ascii="Times New Roman" w:hAnsi="Times New Roman" w:eastAsia="宋体"/>
          <w:b w:val="0"/>
          <w:bCs w:val="0"/>
          <w:i w:val="0"/>
          <w:color w:val="000000"/>
          <w:sz w:val="18"/>
          <w:szCs w:val="18"/>
          <w:lang w:val="en-US" w:eastAsia="zh-CN"/>
        </w:rPr>
        <w:t>注：认知负荷包括内在认知负荷（由任务本身的复杂性和难度决定）、外在认知负荷（由不良的信息呈现方式造成）和相关认知负荷（用于建构和自动化图式的认知投入）三类。</w:t>
      </w:r>
      <w:bookmarkStart w:id="18" w:name="_Toc13212"/>
    </w:p>
    <w:p w14:paraId="5012B5AE">
      <w:pPr>
        <w:pStyle w:val="50"/>
        <w:bidi w:val="0"/>
        <w:ind w:left="0" w:leftChars="0" w:firstLine="0" w:firstLineChars="0"/>
      </w:pPr>
    </w:p>
    <w:p w14:paraId="292B5BE4">
      <w:pPr>
        <w:pStyle w:val="24"/>
        <w:rPr>
          <w:rFonts w:ascii="黑体" w:hAnsi="黑体" w:eastAsia="黑体"/>
        </w:rPr>
      </w:pPr>
      <w:r>
        <w:rPr>
          <w:rFonts w:ascii="黑体" w:hAnsi="黑体" w:eastAsia="黑体"/>
        </w:rPr>
        <w:t>辅助性操作</w:t>
      </w:r>
      <w:r>
        <w:rPr>
          <w:rFonts w:hint="eastAsia" w:ascii="黑体" w:hAnsi="黑体" w:eastAsia="黑体"/>
          <w:lang w:val="en-US" w:eastAsia="zh-CN"/>
        </w:rPr>
        <w:t xml:space="preserve"> </w:t>
      </w:r>
      <w:r>
        <w:rPr>
          <w:rFonts w:ascii="黑体" w:hAnsi="黑体" w:eastAsia="黑体"/>
        </w:rPr>
        <w:t>assisted operation</w:t>
      </w:r>
      <w:bookmarkEnd w:id="18"/>
    </w:p>
    <w:p w14:paraId="4953B3BA">
      <w:pPr>
        <w:pStyle w:val="24"/>
      </w:pPr>
      <w:r>
        <w:t>在照护者或康复治疗师的提示、引导或肢体协助下，认知障碍人群完成电子玩具操作的方式。</w:t>
      </w:r>
    </w:p>
    <w:p w14:paraId="1CF7E870">
      <w:pPr>
        <w:pStyle w:val="51"/>
        <w:spacing w:before="312" w:after="312"/>
      </w:pPr>
      <w:bookmarkStart w:id="19" w:name="_Toc30624"/>
      <w:bookmarkStart w:id="20" w:name="_Toc410"/>
      <w:r>
        <w:t>认知障碍分级</w:t>
      </w:r>
      <w:bookmarkEnd w:id="19"/>
      <w:bookmarkEnd w:id="20"/>
    </w:p>
    <w:p w14:paraId="0A5192B2">
      <w:pPr>
        <w:pStyle w:val="50"/>
        <w:spacing w:before="156" w:after="156"/>
      </w:pPr>
      <w:bookmarkStart w:id="21" w:name="_Toc27289"/>
      <w:r>
        <w:t>轻度认知障碍</w:t>
      </w:r>
      <w:bookmarkEnd w:id="21"/>
    </w:p>
    <w:p w14:paraId="061E768B">
      <w:pPr>
        <w:pStyle w:val="24"/>
        <w:rPr>
          <w:rFonts w:hint="eastAsia"/>
          <w:lang w:eastAsia="zh-CN"/>
        </w:rPr>
      </w:pPr>
      <w:r>
        <w:rPr>
          <w:rFonts w:hint="eastAsia"/>
          <w:lang w:val="en-US" w:eastAsia="zh-CN"/>
        </w:rPr>
        <w:t>轻度认知障碍（Mild Cognitive Impairment，MCI）表现为在记忆、语言、注意和执行归纳等一个或多个方面出现客观损害，程度超出同龄人的正常老化预期，但日常生活能力基本正常（如穿衣、做饭、管理财务）或仅有轻微的困难。</w:t>
      </w:r>
    </w:p>
    <w:p w14:paraId="373F245D">
      <w:pPr>
        <w:pStyle w:val="50"/>
        <w:spacing w:before="156" w:after="156"/>
      </w:pPr>
      <w:bookmarkStart w:id="22" w:name="_Toc22418"/>
      <w:r>
        <w:t>轻度痴呆</w:t>
      </w:r>
      <w:bookmarkEnd w:id="22"/>
    </w:p>
    <w:p w14:paraId="4F601913">
      <w:pPr>
        <w:pStyle w:val="24"/>
        <w:rPr>
          <w:rFonts w:hint="eastAsia"/>
          <w:lang w:val="en-US" w:eastAsia="zh-CN"/>
        </w:rPr>
      </w:pPr>
      <w:r>
        <w:rPr>
          <w:rFonts w:hint="eastAsia"/>
          <w:lang w:val="en-US" w:eastAsia="zh-CN"/>
        </w:rPr>
        <w:t>认知损害明显加重，日常生活能力轻度受损，需部分照护支持。</w:t>
      </w:r>
    </w:p>
    <w:p w14:paraId="1D7049F7">
      <w:pPr>
        <w:pStyle w:val="50"/>
        <w:spacing w:before="156" w:after="156"/>
      </w:pPr>
      <w:bookmarkStart w:id="23" w:name="_Toc30252"/>
      <w:r>
        <w:t>中度痴呆</w:t>
      </w:r>
      <w:bookmarkEnd w:id="23"/>
    </w:p>
    <w:p w14:paraId="6FA2FAD0">
      <w:pPr>
        <w:pStyle w:val="24"/>
        <w:rPr>
          <w:rFonts w:hint="eastAsia"/>
          <w:lang w:val="en-US" w:eastAsia="zh-CN"/>
        </w:rPr>
      </w:pPr>
      <w:r>
        <w:rPr>
          <w:rFonts w:hint="eastAsia"/>
          <w:lang w:val="en-US" w:eastAsia="zh-CN"/>
        </w:rPr>
        <w:t>认知损害进一步加重，日常生活能力中度受损，需较多照护支持。</w:t>
      </w:r>
    </w:p>
    <w:p w14:paraId="79ADD81C">
      <w:pPr>
        <w:pStyle w:val="50"/>
        <w:spacing w:before="156" w:after="156"/>
      </w:pPr>
      <w:bookmarkStart w:id="24" w:name="_Toc1089"/>
      <w:r>
        <w:t>重度痴呆</w:t>
      </w:r>
      <w:bookmarkEnd w:id="24"/>
    </w:p>
    <w:p w14:paraId="0D6695CF">
      <w:pPr>
        <w:pStyle w:val="24"/>
        <w:rPr>
          <w:rFonts w:hint="eastAsia"/>
          <w:lang w:val="en-US" w:eastAsia="zh-CN"/>
        </w:rPr>
      </w:pPr>
      <w:r>
        <w:rPr>
          <w:rFonts w:hint="eastAsia"/>
          <w:lang w:val="en-US" w:eastAsia="zh-CN"/>
        </w:rPr>
        <w:t>认知功能严重衰退，日常生活能力完全丧失，需全面照护。</w:t>
      </w:r>
    </w:p>
    <w:p w14:paraId="42D7376C">
      <w:pPr>
        <w:pStyle w:val="51"/>
        <w:spacing w:before="312" w:after="312"/>
      </w:pPr>
      <w:bookmarkStart w:id="25" w:name="_Toc3333"/>
      <w:bookmarkStart w:id="26" w:name="_Toc6236"/>
      <w:r>
        <w:t>电子玩具分级</w:t>
      </w:r>
      <w:bookmarkEnd w:id="25"/>
      <w:bookmarkEnd w:id="26"/>
    </w:p>
    <w:p w14:paraId="23B2F1D2">
      <w:pPr>
        <w:pStyle w:val="50"/>
        <w:spacing w:before="156" w:after="156"/>
      </w:pPr>
      <w:bookmarkStart w:id="27" w:name="_Toc18338"/>
      <w:r>
        <w:t xml:space="preserve"> A级——基础感官型电子玩具</w:t>
      </w:r>
      <w:bookmarkEnd w:id="27"/>
    </w:p>
    <w:p w14:paraId="50F047D4">
      <w:pPr>
        <w:pStyle w:val="24"/>
        <w:rPr>
          <w:rFonts w:hint="eastAsia"/>
        </w:rPr>
      </w:pPr>
      <w:r>
        <w:rPr>
          <w:rFonts w:hint="eastAsia"/>
        </w:rPr>
        <w:t>A级电子玩具宜符合以下特征：</w:t>
      </w:r>
    </w:p>
    <w:p w14:paraId="3DA76D57">
      <w:pPr>
        <w:pStyle w:val="24"/>
        <w:rPr>
          <w:rFonts w:hint="eastAsia"/>
        </w:rPr>
      </w:pPr>
      <w:r>
        <w:rPr>
          <w:rFonts w:hint="eastAsia"/>
          <w:lang w:eastAsia="zh-CN"/>
        </w:rPr>
        <w:t>a）以单一感官刺激为主，如光、声、触觉或振动；</w:t>
      </w:r>
    </w:p>
    <w:p w14:paraId="540ADF6C">
      <w:pPr>
        <w:pStyle w:val="24"/>
        <w:rPr>
          <w:rFonts w:hint="eastAsia"/>
        </w:rPr>
      </w:pPr>
      <w:r>
        <w:rPr>
          <w:rFonts w:hint="eastAsia"/>
          <w:lang w:eastAsia="zh-CN"/>
        </w:rPr>
        <w:t>b）操作方式极为简单，通常为被动接收或单一按键触发；</w:t>
      </w:r>
    </w:p>
    <w:p w14:paraId="3DC970DB">
      <w:pPr>
        <w:pStyle w:val="24"/>
        <w:rPr>
          <w:rFonts w:hint="eastAsia"/>
        </w:rPr>
      </w:pPr>
      <w:r>
        <w:rPr>
          <w:rFonts w:hint="eastAsia"/>
          <w:lang w:eastAsia="zh-CN"/>
        </w:rPr>
        <w:t>c）无复杂规则或任务要求，认知负荷极低；</w:t>
      </w:r>
    </w:p>
    <w:p w14:paraId="7CC7023B">
      <w:pPr>
        <w:pStyle w:val="24"/>
        <w:rPr>
          <w:rFonts w:hint="eastAsia"/>
        </w:rPr>
      </w:pPr>
      <w:r>
        <w:rPr>
          <w:rFonts w:hint="eastAsia"/>
          <w:lang w:eastAsia="zh-CN"/>
        </w:rPr>
        <w:t>d）反馈即时且直观，如按下即发光、触摸即发声；</w:t>
      </w:r>
    </w:p>
    <w:p w14:paraId="49D0B27B">
      <w:pPr>
        <w:spacing w:before="0" w:after="0" w:line="360" w:lineRule="auto"/>
        <w:ind w:left="839" w:hanging="420"/>
        <w:jc w:val="left"/>
        <w:rPr>
          <w:sz w:val="21"/>
          <w:szCs w:val="21"/>
        </w:rPr>
      </w:pPr>
      <w:r>
        <w:rPr>
          <w:rFonts w:hint="eastAsia" w:ascii="Times New Roman" w:hAnsi="Times New Roman" w:eastAsia="宋体"/>
          <w:b w:val="0"/>
          <w:bCs w:val="0"/>
          <w:i w:val="0"/>
          <w:color w:val="000000"/>
          <w:sz w:val="18"/>
          <w:szCs w:val="18"/>
          <w:lang w:eastAsia="zh-CN"/>
        </w:rPr>
        <w:t>示例：发光安抚球、音乐抱枕、电子玩偶、电子宠物、触觉振动板、简单声光盒。</w:t>
      </w:r>
    </w:p>
    <w:p w14:paraId="5837B6FC">
      <w:pPr>
        <w:pStyle w:val="50"/>
        <w:spacing w:before="156" w:after="156"/>
      </w:pPr>
      <w:bookmarkStart w:id="28" w:name="_Toc3907"/>
      <w:r>
        <w:t>B级——简单互动型电子玩具</w:t>
      </w:r>
      <w:bookmarkEnd w:id="28"/>
    </w:p>
    <w:p w14:paraId="3810C3DB">
      <w:pPr>
        <w:pStyle w:val="24"/>
        <w:rPr>
          <w:rFonts w:hint="eastAsia"/>
        </w:rPr>
      </w:pPr>
      <w:r>
        <w:rPr>
          <w:rFonts w:hint="eastAsia"/>
        </w:rPr>
        <w:t>B级电子玩具宜符合以下特征：</w:t>
      </w:r>
    </w:p>
    <w:p w14:paraId="20946FD9">
      <w:pPr>
        <w:pStyle w:val="24"/>
        <w:rPr>
          <w:rFonts w:hint="eastAsia"/>
        </w:rPr>
      </w:pPr>
      <w:r>
        <w:rPr>
          <w:rFonts w:hint="eastAsia"/>
          <w:lang w:eastAsia="zh-CN"/>
        </w:rPr>
        <w:t>a）</w:t>
      </w:r>
      <w:r>
        <w:rPr>
          <w:rFonts w:hint="eastAsia"/>
        </w:rPr>
        <w:t>具有简单的因果关系互动，如配对、排序、模仿等；</w:t>
      </w:r>
    </w:p>
    <w:p w14:paraId="2BCA6776">
      <w:pPr>
        <w:pStyle w:val="24"/>
        <w:rPr>
          <w:rFonts w:hint="eastAsia"/>
        </w:rPr>
      </w:pPr>
      <w:r>
        <w:rPr>
          <w:rFonts w:hint="eastAsia"/>
          <w:lang w:eastAsia="zh-CN"/>
        </w:rPr>
        <w:t>b）</w:t>
      </w:r>
      <w:r>
        <w:rPr>
          <w:rFonts w:hint="eastAsia"/>
        </w:rPr>
        <w:t>操作步骤不超过2步，界面元素不超过3个；</w:t>
      </w:r>
    </w:p>
    <w:p w14:paraId="7FFAFC23">
      <w:pPr>
        <w:pStyle w:val="24"/>
        <w:rPr>
          <w:rFonts w:hint="eastAsia"/>
        </w:rPr>
      </w:pPr>
      <w:r>
        <w:rPr>
          <w:rFonts w:hint="eastAsia"/>
          <w:lang w:eastAsia="zh-CN"/>
        </w:rPr>
        <w:t>c）</w:t>
      </w:r>
      <w:r>
        <w:rPr>
          <w:rFonts w:hint="eastAsia"/>
        </w:rPr>
        <w:t>提供明确的视觉或听觉提示，引导用户完成操作；</w:t>
      </w:r>
    </w:p>
    <w:p w14:paraId="76B6E2C9">
      <w:pPr>
        <w:pStyle w:val="24"/>
        <w:rPr>
          <w:rFonts w:hint="eastAsia"/>
        </w:rPr>
      </w:pPr>
      <w:r>
        <w:rPr>
          <w:rFonts w:hint="eastAsia"/>
          <w:lang w:eastAsia="zh-CN"/>
        </w:rPr>
        <w:t>d）</w:t>
      </w:r>
      <w:r>
        <w:rPr>
          <w:rFonts w:hint="eastAsia"/>
        </w:rPr>
        <w:t>认知负荷低，任务持续时间不超过5分钟；</w:t>
      </w:r>
    </w:p>
    <w:p w14:paraId="20F707AF">
      <w:pPr>
        <w:spacing w:before="0" w:after="0" w:line="360" w:lineRule="auto"/>
        <w:ind w:left="839" w:hanging="420"/>
        <w:jc w:val="left"/>
        <w:rPr>
          <w:sz w:val="21"/>
          <w:szCs w:val="21"/>
        </w:rPr>
      </w:pPr>
      <w:r>
        <w:rPr>
          <w:rFonts w:hint="eastAsia" w:ascii="Times New Roman" w:hAnsi="Times New Roman" w:eastAsia="宋体"/>
          <w:b w:val="0"/>
          <w:bCs w:val="0"/>
          <w:i w:val="0"/>
          <w:color w:val="000000"/>
          <w:sz w:val="18"/>
          <w:szCs w:val="18"/>
          <w:lang w:eastAsia="zh-CN"/>
        </w:rPr>
        <w:t>示例：简单拼图平板、颜色配对灯、音乐节奏敲击板、图片认知卡和计算机化裸眼AR立体图像。</w:t>
      </w:r>
    </w:p>
    <w:p w14:paraId="218B00BE">
      <w:pPr>
        <w:pStyle w:val="50"/>
        <w:spacing w:before="156" w:after="156"/>
      </w:pPr>
      <w:bookmarkStart w:id="29" w:name="_Toc12132"/>
      <w:r>
        <w:t xml:space="preserve"> C级——认知训练型电子玩具</w:t>
      </w:r>
      <w:bookmarkEnd w:id="29"/>
    </w:p>
    <w:p w14:paraId="6DC3BF8A">
      <w:pPr>
        <w:pStyle w:val="24"/>
        <w:rPr>
          <w:rFonts w:hint="eastAsia"/>
        </w:rPr>
      </w:pPr>
      <w:r>
        <w:rPr>
          <w:rFonts w:hint="eastAsia"/>
        </w:rPr>
        <w:t>C级电子玩具宜符合以下特征：</w:t>
      </w:r>
    </w:p>
    <w:p w14:paraId="07935430">
      <w:pPr>
        <w:pStyle w:val="24"/>
        <w:rPr>
          <w:rFonts w:hint="eastAsia"/>
        </w:rPr>
      </w:pPr>
      <w:r>
        <w:rPr>
          <w:rFonts w:hint="eastAsia"/>
          <w:lang w:eastAsia="zh-CN"/>
        </w:rPr>
        <w:t>a）</w:t>
      </w:r>
      <w:r>
        <w:rPr>
          <w:rFonts w:hint="eastAsia"/>
          <w:lang w:val="en-US" w:eastAsia="zh-CN"/>
        </w:rPr>
        <w:t>针对特定认知域进行训练</w:t>
      </w:r>
      <w:r>
        <w:rPr>
          <w:rFonts w:hint="eastAsia"/>
          <w:lang w:eastAsia="zh-CN"/>
        </w:rPr>
        <w:t>，</w:t>
      </w:r>
      <w:r>
        <w:rPr>
          <w:rFonts w:hint="eastAsia"/>
          <w:lang w:val="en-US" w:eastAsia="zh-CN"/>
        </w:rPr>
        <w:t>如复合性</w:t>
      </w:r>
      <w:r>
        <w:rPr>
          <w:rFonts w:hint="eastAsia"/>
        </w:rPr>
        <w:t>注意、执行功能、学习和记忆、语言、知觉运动功能、社会认知</w:t>
      </w:r>
      <w:r>
        <w:rPr>
          <w:rFonts w:hint="eastAsia"/>
          <w:lang w:val="en-US" w:eastAsia="zh-CN"/>
        </w:rPr>
        <w:t>等</w:t>
      </w:r>
      <w:r>
        <w:rPr>
          <w:rFonts w:hint="eastAsia"/>
        </w:rPr>
        <w:t>；</w:t>
      </w:r>
    </w:p>
    <w:p w14:paraId="2CCE4F0C">
      <w:pPr>
        <w:pStyle w:val="24"/>
        <w:rPr>
          <w:rFonts w:hint="eastAsia"/>
        </w:rPr>
      </w:pPr>
      <w:r>
        <w:rPr>
          <w:rFonts w:hint="eastAsia"/>
          <w:lang w:eastAsia="zh-CN"/>
        </w:rPr>
        <w:t>b）</w:t>
      </w:r>
      <w:r>
        <w:rPr>
          <w:rFonts w:hint="eastAsia"/>
        </w:rPr>
        <w:t>操作步骤2步～4步，界面元素3个～6个；</w:t>
      </w:r>
    </w:p>
    <w:p w14:paraId="571221DF">
      <w:pPr>
        <w:pStyle w:val="24"/>
        <w:rPr>
          <w:rFonts w:hint="eastAsia"/>
        </w:rPr>
      </w:pPr>
      <w:r>
        <w:rPr>
          <w:rFonts w:hint="eastAsia"/>
          <w:lang w:eastAsia="zh-CN"/>
        </w:rPr>
        <w:t>c）</w:t>
      </w:r>
      <w:r>
        <w:rPr>
          <w:rFonts w:hint="eastAsia"/>
        </w:rPr>
        <w:t>具有难度调节功能，可根据用户表现自动或手动调整任务难度；</w:t>
      </w:r>
    </w:p>
    <w:p w14:paraId="2658E65E">
      <w:pPr>
        <w:pStyle w:val="24"/>
        <w:rPr>
          <w:rFonts w:hint="eastAsia"/>
        </w:rPr>
      </w:pPr>
      <w:r>
        <w:rPr>
          <w:rFonts w:hint="eastAsia"/>
          <w:lang w:eastAsia="zh-CN"/>
        </w:rPr>
        <w:t>d）</w:t>
      </w:r>
      <w:r>
        <w:rPr>
          <w:rFonts w:hint="eastAsia"/>
        </w:rPr>
        <w:t>认知负荷中等，任务持续时间5分钟～15分钟；</w:t>
      </w:r>
    </w:p>
    <w:p w14:paraId="1F041247">
      <w:pPr>
        <w:pStyle w:val="24"/>
        <w:rPr>
          <w:rFonts w:hint="eastAsia"/>
        </w:rPr>
      </w:pPr>
      <w:r>
        <w:rPr>
          <w:rFonts w:hint="eastAsia"/>
          <w:lang w:eastAsia="zh-CN"/>
        </w:rPr>
        <w:t>e）</w:t>
      </w:r>
      <w:r>
        <w:rPr>
          <w:rFonts w:hint="eastAsia"/>
        </w:rPr>
        <w:t>提供阶段性反馈和成绩记录功能；</w:t>
      </w:r>
    </w:p>
    <w:p w14:paraId="1A10417D">
      <w:pPr>
        <w:spacing w:before="0" w:after="0" w:line="360" w:lineRule="auto"/>
        <w:ind w:left="839" w:hanging="420"/>
        <w:jc w:val="left"/>
        <w:rPr>
          <w:sz w:val="21"/>
          <w:szCs w:val="21"/>
        </w:rPr>
      </w:pPr>
      <w:r>
        <w:rPr>
          <w:rFonts w:hint="eastAsia" w:ascii="Times New Roman" w:hAnsi="Times New Roman" w:eastAsia="宋体"/>
          <w:b w:val="0"/>
          <w:bCs w:val="0"/>
          <w:i w:val="0"/>
          <w:color w:val="000000"/>
          <w:sz w:val="18"/>
          <w:szCs w:val="18"/>
          <w:lang w:eastAsia="zh-CN"/>
        </w:rPr>
        <w:t>示例：数字记忆训练器、分类排序游戏、简单计算练习板、定向力训练地图、眼动认知训练游戏。</w:t>
      </w:r>
    </w:p>
    <w:p w14:paraId="45CA3162">
      <w:pPr>
        <w:pStyle w:val="50"/>
        <w:spacing w:before="156" w:after="156"/>
      </w:pPr>
      <w:bookmarkStart w:id="30" w:name="_Toc4512"/>
      <w:r>
        <w:t xml:space="preserve"> D级——综合应用型电子玩具</w:t>
      </w:r>
      <w:bookmarkEnd w:id="30"/>
    </w:p>
    <w:p w14:paraId="75679776">
      <w:pPr>
        <w:pStyle w:val="24"/>
        <w:rPr>
          <w:rFonts w:hint="eastAsia"/>
          <w:lang w:eastAsia="zh-CN"/>
        </w:rPr>
      </w:pPr>
      <w:r>
        <w:rPr>
          <w:rFonts w:hint="eastAsia"/>
          <w:lang w:eastAsia="zh-CN"/>
        </w:rPr>
        <w:t>D级电子玩具宜符合以下特征：</w:t>
      </w:r>
    </w:p>
    <w:p w14:paraId="1F8E26C4">
      <w:pPr>
        <w:pStyle w:val="24"/>
        <w:rPr>
          <w:rFonts w:hint="eastAsia"/>
          <w:lang w:eastAsia="zh-CN"/>
        </w:rPr>
      </w:pPr>
      <w:r>
        <w:rPr>
          <w:rFonts w:hint="eastAsia"/>
          <w:lang w:eastAsia="zh-CN"/>
        </w:rPr>
        <w:t>a）整合多种认知训练任务，</w:t>
      </w:r>
      <w:r>
        <w:rPr>
          <w:rFonts w:hint="eastAsia"/>
          <w:lang w:val="en-US" w:eastAsia="zh-CN"/>
        </w:rPr>
        <w:t>根据</w:t>
      </w:r>
      <w:r>
        <w:rPr>
          <w:rFonts w:hint="eastAsia"/>
          <w:lang w:eastAsia="zh-CN"/>
        </w:rPr>
        <w:t>DSM</w:t>
      </w:r>
      <w:r>
        <w:rPr>
          <w:rFonts w:hint="eastAsia"/>
          <w:lang w:val="en-US" w:eastAsia="zh-CN"/>
        </w:rPr>
        <w:t>-</w:t>
      </w:r>
      <w:r>
        <w:rPr>
          <w:rFonts w:hint="eastAsia"/>
          <w:lang w:eastAsia="zh-CN"/>
        </w:rPr>
        <w:t>5（《精神障碍诊断与统计手册》第</w:t>
      </w:r>
      <w:r>
        <w:rPr>
          <w:rFonts w:hint="eastAsia"/>
          <w:lang w:val="en-US" w:eastAsia="zh-CN"/>
        </w:rPr>
        <w:t>5</w:t>
      </w:r>
      <w:r>
        <w:rPr>
          <w:rFonts w:hint="eastAsia"/>
          <w:lang w:eastAsia="zh-CN"/>
        </w:rPr>
        <w:t>版）中</w:t>
      </w:r>
      <w:r>
        <w:rPr>
          <w:rFonts w:hint="eastAsia"/>
          <w:lang w:val="en-US" w:eastAsia="zh-CN"/>
        </w:rPr>
        <w:t>六个认知域（复合性</w:t>
      </w:r>
      <w:r>
        <w:rPr>
          <w:rFonts w:hint="eastAsia"/>
          <w:lang w:eastAsia="zh-CN"/>
        </w:rPr>
        <w:t>注意、执行功能、学习和记忆、语言、知觉运动功能、社会认知</w:t>
      </w:r>
      <w:r>
        <w:rPr>
          <w:rFonts w:hint="eastAsia"/>
          <w:lang w:val="en-US" w:eastAsia="zh-CN"/>
        </w:rPr>
        <w:t>）及其亚项进行评估后，</w:t>
      </w:r>
      <w:r>
        <w:rPr>
          <w:rFonts w:hint="eastAsia"/>
          <w:lang w:eastAsia="zh-CN"/>
        </w:rPr>
        <w:t>针对</w:t>
      </w:r>
      <w:r>
        <w:rPr>
          <w:rFonts w:hint="eastAsia"/>
          <w:lang w:val="en-US" w:eastAsia="zh-CN"/>
        </w:rPr>
        <w:t>受损</w:t>
      </w:r>
      <w:r>
        <w:rPr>
          <w:rFonts w:hint="eastAsia"/>
          <w:lang w:eastAsia="zh-CN"/>
        </w:rPr>
        <w:t>认知域</w:t>
      </w:r>
      <w:r>
        <w:rPr>
          <w:rFonts w:hint="eastAsia"/>
          <w:lang w:val="en-US" w:eastAsia="zh-CN"/>
        </w:rPr>
        <w:t>及其亚项的内容和程度</w:t>
      </w:r>
      <w:r>
        <w:rPr>
          <w:rFonts w:hint="eastAsia"/>
          <w:lang w:eastAsia="zh-CN"/>
        </w:rPr>
        <w:t>进行</w:t>
      </w:r>
      <w:r>
        <w:rPr>
          <w:rFonts w:hint="eastAsia"/>
          <w:lang w:val="en-US" w:eastAsia="zh-CN"/>
        </w:rPr>
        <w:t>针对性</w:t>
      </w:r>
      <w:r>
        <w:rPr>
          <w:rFonts w:hint="eastAsia"/>
          <w:lang w:eastAsia="zh-CN"/>
        </w:rPr>
        <w:t>训练；</w:t>
      </w:r>
    </w:p>
    <w:p w14:paraId="037F64D4">
      <w:pPr>
        <w:pStyle w:val="24"/>
        <w:rPr>
          <w:rFonts w:hint="eastAsia"/>
          <w:lang w:eastAsia="zh-CN"/>
        </w:rPr>
      </w:pPr>
      <w:r>
        <w:rPr>
          <w:rFonts w:hint="eastAsia"/>
          <w:lang w:eastAsia="zh-CN"/>
        </w:rPr>
        <w:t>b）操作步骤4步以上，界面元素6个以上，具有菜单层级结构；</w:t>
      </w:r>
    </w:p>
    <w:p w14:paraId="2D2F325E">
      <w:pPr>
        <w:pStyle w:val="24"/>
        <w:rPr>
          <w:rFonts w:hint="eastAsia"/>
          <w:lang w:eastAsia="zh-CN"/>
        </w:rPr>
      </w:pPr>
      <w:r>
        <w:rPr>
          <w:rFonts w:hint="eastAsia"/>
          <w:lang w:eastAsia="zh-CN"/>
        </w:rPr>
        <w:t>c）具有个性化训练方案制定、数据追踪和远程管理功能；</w:t>
      </w:r>
    </w:p>
    <w:p w14:paraId="6A260A44">
      <w:pPr>
        <w:pStyle w:val="24"/>
        <w:rPr>
          <w:rFonts w:hint="eastAsia"/>
          <w:lang w:eastAsia="zh-CN"/>
        </w:rPr>
      </w:pPr>
      <w:r>
        <w:rPr>
          <w:rFonts w:hint="eastAsia"/>
          <w:lang w:eastAsia="zh-CN"/>
        </w:rPr>
        <w:t>d）认知负荷较高，单次使用时长15分钟～30分钟；</w:t>
      </w:r>
    </w:p>
    <w:p w14:paraId="4F7BD8F7">
      <w:pPr>
        <w:pStyle w:val="24"/>
        <w:rPr>
          <w:rFonts w:hint="eastAsia"/>
          <w:lang w:eastAsia="zh-CN"/>
        </w:rPr>
      </w:pPr>
      <w:r>
        <w:rPr>
          <w:rFonts w:hint="eastAsia"/>
          <w:lang w:eastAsia="zh-CN"/>
        </w:rPr>
        <w:t>e）支持多人在线或本地协作互动；</w:t>
      </w:r>
    </w:p>
    <w:p w14:paraId="3F38FE3F">
      <w:pPr>
        <w:spacing w:before="0" w:after="0" w:line="360" w:lineRule="auto"/>
        <w:ind w:left="839" w:hanging="420"/>
        <w:jc w:val="left"/>
        <w:rPr>
          <w:rFonts w:ascii="黑体" w:hAnsi="黑体" w:eastAsia="黑体"/>
          <w:b w:val="0"/>
          <w:i w:val="0"/>
          <w:sz w:val="21"/>
          <w:szCs w:val="21"/>
        </w:rPr>
      </w:pPr>
      <w:r>
        <w:rPr>
          <w:rFonts w:hint="eastAsia" w:ascii="Times New Roman" w:hAnsi="Times New Roman" w:eastAsia="宋体"/>
          <w:b w:val="0"/>
          <w:bCs w:val="0"/>
          <w:i w:val="0"/>
          <w:color w:val="000000"/>
          <w:sz w:val="18"/>
          <w:szCs w:val="18"/>
          <w:lang w:eastAsia="zh-CN"/>
        </w:rPr>
        <w:t>示例：虚拟现实认知训练系统、智能康复机器人、多任务综合训练平台、远程认知评估与训练系统。</w:t>
      </w:r>
    </w:p>
    <w:p w14:paraId="60B1E812">
      <w:pPr>
        <w:keepLines w:val="0"/>
        <w:spacing w:before="120" w:after="60" w:line="360" w:lineRule="auto"/>
        <w:jc w:val="center"/>
        <w:rPr>
          <w:sz w:val="21"/>
          <w:szCs w:val="21"/>
        </w:rPr>
      </w:pPr>
      <w:r>
        <w:rPr>
          <w:rFonts w:ascii="Times New Roman" w:hAnsi="Times New Roman" w:eastAsia="黑体"/>
          <w:b w:val="0"/>
          <w:bCs w:val="0"/>
          <w:i w:val="0"/>
          <w:color w:val="000000"/>
          <w:sz w:val="21"/>
          <w:szCs w:val="21"/>
        </w:rPr>
        <w:t>表1  电子玩具分级标准</w:t>
      </w: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40"/>
        <w:gridCol w:w="1440"/>
        <w:gridCol w:w="1440"/>
        <w:gridCol w:w="1314"/>
        <w:gridCol w:w="1566"/>
        <w:gridCol w:w="1440"/>
      </w:tblGrid>
      <w:tr w14:paraId="12405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40" w:type="dxa"/>
          </w:tcPr>
          <w:p w14:paraId="13323ADA">
            <w:pPr>
              <w:jc w:val="center"/>
              <w:rPr>
                <w:b w:val="0"/>
                <w:bCs/>
                <w:sz w:val="18"/>
                <w:szCs w:val="18"/>
              </w:rPr>
            </w:pPr>
            <w:r>
              <w:rPr>
                <w:rFonts w:ascii="Times New Roman" w:hAnsi="Times New Roman" w:eastAsia="黑体"/>
                <w:b w:val="0"/>
                <w:bCs/>
                <w:i w:val="0"/>
                <w:color w:val="000000"/>
                <w:sz w:val="21"/>
                <w:szCs w:val="21"/>
              </w:rPr>
              <w:t>等级</w:t>
            </w:r>
          </w:p>
        </w:tc>
        <w:tc>
          <w:tcPr>
            <w:tcW w:w="1440" w:type="dxa"/>
          </w:tcPr>
          <w:p w14:paraId="30E358FA">
            <w:pPr>
              <w:jc w:val="center"/>
              <w:rPr>
                <w:b w:val="0"/>
                <w:bCs/>
                <w:sz w:val="18"/>
                <w:szCs w:val="18"/>
              </w:rPr>
            </w:pPr>
            <w:r>
              <w:rPr>
                <w:rFonts w:ascii="Times New Roman" w:hAnsi="Times New Roman" w:eastAsia="黑体"/>
                <w:b w:val="0"/>
                <w:bCs/>
                <w:i w:val="0"/>
                <w:color w:val="000000"/>
                <w:sz w:val="21"/>
                <w:szCs w:val="21"/>
              </w:rPr>
              <w:t>操作步骤</w:t>
            </w:r>
          </w:p>
        </w:tc>
        <w:tc>
          <w:tcPr>
            <w:tcW w:w="1440" w:type="dxa"/>
          </w:tcPr>
          <w:p w14:paraId="7BC5ACBD">
            <w:pPr>
              <w:jc w:val="center"/>
              <w:rPr>
                <w:b w:val="0"/>
                <w:bCs/>
                <w:sz w:val="18"/>
                <w:szCs w:val="18"/>
              </w:rPr>
            </w:pPr>
            <w:r>
              <w:rPr>
                <w:rFonts w:ascii="Times New Roman" w:hAnsi="Times New Roman" w:eastAsia="黑体"/>
                <w:b w:val="0"/>
                <w:bCs/>
                <w:i w:val="0"/>
                <w:color w:val="000000"/>
                <w:sz w:val="21"/>
                <w:szCs w:val="21"/>
              </w:rPr>
              <w:t>界面元素</w:t>
            </w:r>
          </w:p>
        </w:tc>
        <w:tc>
          <w:tcPr>
            <w:tcW w:w="1314" w:type="dxa"/>
          </w:tcPr>
          <w:p w14:paraId="3EC5B31C">
            <w:pPr>
              <w:jc w:val="center"/>
              <w:rPr>
                <w:b w:val="0"/>
                <w:bCs/>
                <w:sz w:val="18"/>
                <w:szCs w:val="18"/>
              </w:rPr>
            </w:pPr>
            <w:r>
              <w:rPr>
                <w:rFonts w:ascii="Times New Roman" w:hAnsi="Times New Roman" w:eastAsia="黑体"/>
                <w:b w:val="0"/>
                <w:bCs/>
                <w:i w:val="0"/>
                <w:color w:val="000000"/>
                <w:sz w:val="21"/>
                <w:szCs w:val="21"/>
              </w:rPr>
              <w:t>认知负荷</w:t>
            </w:r>
          </w:p>
        </w:tc>
        <w:tc>
          <w:tcPr>
            <w:tcW w:w="1566" w:type="dxa"/>
          </w:tcPr>
          <w:p w14:paraId="466F7F42">
            <w:pPr>
              <w:jc w:val="center"/>
              <w:rPr>
                <w:b w:val="0"/>
                <w:bCs/>
                <w:sz w:val="18"/>
                <w:szCs w:val="18"/>
              </w:rPr>
            </w:pPr>
            <w:r>
              <w:rPr>
                <w:rFonts w:ascii="Times New Roman" w:hAnsi="Times New Roman" w:eastAsia="黑体"/>
                <w:b w:val="0"/>
                <w:bCs/>
                <w:i w:val="0"/>
                <w:color w:val="000000"/>
                <w:sz w:val="21"/>
                <w:szCs w:val="21"/>
              </w:rPr>
              <w:t>任务时长</w:t>
            </w:r>
          </w:p>
        </w:tc>
        <w:tc>
          <w:tcPr>
            <w:tcW w:w="1440" w:type="dxa"/>
          </w:tcPr>
          <w:p w14:paraId="2C0A05D3">
            <w:pPr>
              <w:jc w:val="center"/>
              <w:rPr>
                <w:b w:val="0"/>
                <w:bCs/>
                <w:sz w:val="18"/>
                <w:szCs w:val="18"/>
              </w:rPr>
            </w:pPr>
            <w:r>
              <w:rPr>
                <w:rFonts w:ascii="Times New Roman" w:hAnsi="Times New Roman" w:eastAsia="黑体"/>
                <w:b w:val="0"/>
                <w:bCs/>
                <w:i w:val="0"/>
                <w:color w:val="000000"/>
                <w:sz w:val="21"/>
                <w:szCs w:val="21"/>
              </w:rPr>
              <w:t>典型功能</w:t>
            </w:r>
          </w:p>
        </w:tc>
      </w:tr>
      <w:tr w14:paraId="35F70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40" w:type="dxa"/>
          </w:tcPr>
          <w:p w14:paraId="08663783">
            <w:pPr>
              <w:jc w:val="left"/>
              <w:rPr>
                <w:sz w:val="18"/>
                <w:szCs w:val="18"/>
              </w:rPr>
            </w:pPr>
            <w:r>
              <w:rPr>
                <w:rFonts w:ascii="Times New Roman" w:hAnsi="Times New Roman" w:eastAsia="宋体"/>
                <w:b w:val="0"/>
                <w:i w:val="0"/>
                <w:color w:val="000000"/>
                <w:sz w:val="21"/>
                <w:szCs w:val="21"/>
              </w:rPr>
              <w:t>A级</w:t>
            </w:r>
          </w:p>
        </w:tc>
        <w:tc>
          <w:tcPr>
            <w:tcW w:w="1440" w:type="dxa"/>
          </w:tcPr>
          <w:p w14:paraId="536B81EF">
            <w:pPr>
              <w:jc w:val="center"/>
              <w:rPr>
                <w:sz w:val="18"/>
                <w:szCs w:val="18"/>
              </w:rPr>
            </w:pPr>
            <w:r>
              <w:rPr>
                <w:rFonts w:ascii="Times New Roman" w:hAnsi="Times New Roman" w:eastAsia="宋体"/>
                <w:b w:val="0"/>
                <w:i w:val="0"/>
                <w:color w:val="000000"/>
                <w:sz w:val="21"/>
                <w:szCs w:val="21"/>
              </w:rPr>
              <w:t>被动/1步</w:t>
            </w:r>
          </w:p>
        </w:tc>
        <w:tc>
          <w:tcPr>
            <w:tcW w:w="1440" w:type="dxa"/>
          </w:tcPr>
          <w:p w14:paraId="14C61404">
            <w:pPr>
              <w:jc w:val="center"/>
              <w:rPr>
                <w:sz w:val="18"/>
                <w:szCs w:val="18"/>
              </w:rPr>
            </w:pPr>
            <w:r>
              <w:rPr>
                <w:rFonts w:ascii="Times New Roman" w:hAnsi="Times New Roman" w:eastAsia="宋体"/>
                <w:b w:val="0"/>
                <w:i w:val="0"/>
                <w:color w:val="000000"/>
                <w:sz w:val="21"/>
                <w:szCs w:val="21"/>
              </w:rPr>
              <w:t>1个</w:t>
            </w:r>
          </w:p>
        </w:tc>
        <w:tc>
          <w:tcPr>
            <w:tcW w:w="1314" w:type="dxa"/>
          </w:tcPr>
          <w:p w14:paraId="6C12B286">
            <w:pPr>
              <w:jc w:val="center"/>
              <w:rPr>
                <w:sz w:val="18"/>
                <w:szCs w:val="18"/>
              </w:rPr>
            </w:pPr>
            <w:r>
              <w:rPr>
                <w:rFonts w:ascii="Times New Roman" w:hAnsi="Times New Roman" w:eastAsia="宋体"/>
                <w:b w:val="0"/>
                <w:i w:val="0"/>
                <w:color w:val="000000"/>
                <w:sz w:val="21"/>
                <w:szCs w:val="21"/>
              </w:rPr>
              <w:t>极低</w:t>
            </w:r>
          </w:p>
        </w:tc>
        <w:tc>
          <w:tcPr>
            <w:tcW w:w="1566" w:type="dxa"/>
          </w:tcPr>
          <w:p w14:paraId="53A9592A">
            <w:pPr>
              <w:jc w:val="center"/>
              <w:rPr>
                <w:sz w:val="18"/>
                <w:szCs w:val="18"/>
              </w:rPr>
            </w:pPr>
            <w:r>
              <w:rPr>
                <w:rFonts w:ascii="Times New Roman" w:hAnsi="Times New Roman" w:eastAsia="宋体"/>
                <w:b w:val="0"/>
                <w:i w:val="0"/>
                <w:color w:val="000000"/>
                <w:sz w:val="21"/>
                <w:szCs w:val="21"/>
              </w:rPr>
              <w:t>不限</w:t>
            </w:r>
          </w:p>
        </w:tc>
        <w:tc>
          <w:tcPr>
            <w:tcW w:w="1440" w:type="dxa"/>
          </w:tcPr>
          <w:p w14:paraId="678E4C48">
            <w:pPr>
              <w:jc w:val="center"/>
              <w:rPr>
                <w:sz w:val="18"/>
                <w:szCs w:val="18"/>
              </w:rPr>
            </w:pPr>
            <w:r>
              <w:rPr>
                <w:rFonts w:ascii="Times New Roman" w:hAnsi="Times New Roman" w:eastAsia="宋体"/>
                <w:b w:val="0"/>
                <w:i w:val="0"/>
                <w:color w:val="000000"/>
                <w:sz w:val="21"/>
                <w:szCs w:val="21"/>
              </w:rPr>
              <w:t>感官刺激、安抚</w:t>
            </w:r>
          </w:p>
        </w:tc>
      </w:tr>
      <w:tr w14:paraId="4952F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40" w:type="dxa"/>
          </w:tcPr>
          <w:p w14:paraId="518D5E98">
            <w:pPr>
              <w:jc w:val="left"/>
              <w:rPr>
                <w:sz w:val="18"/>
                <w:szCs w:val="18"/>
              </w:rPr>
            </w:pPr>
            <w:r>
              <w:rPr>
                <w:rFonts w:ascii="Times New Roman" w:hAnsi="Times New Roman" w:eastAsia="宋体"/>
                <w:b w:val="0"/>
                <w:i w:val="0"/>
                <w:color w:val="000000"/>
                <w:sz w:val="21"/>
                <w:szCs w:val="21"/>
              </w:rPr>
              <w:t>B级</w:t>
            </w:r>
          </w:p>
        </w:tc>
        <w:tc>
          <w:tcPr>
            <w:tcW w:w="1440" w:type="dxa"/>
          </w:tcPr>
          <w:p w14:paraId="17825F07">
            <w:pPr>
              <w:jc w:val="center"/>
              <w:rPr>
                <w:sz w:val="18"/>
                <w:szCs w:val="18"/>
              </w:rPr>
            </w:pPr>
            <w:r>
              <w:rPr>
                <w:rFonts w:ascii="Times New Roman" w:hAnsi="Times New Roman" w:eastAsia="宋体"/>
                <w:b w:val="0"/>
                <w:i w:val="0"/>
                <w:color w:val="000000"/>
                <w:sz w:val="21"/>
                <w:szCs w:val="21"/>
              </w:rPr>
              <w:t>≤2步</w:t>
            </w:r>
          </w:p>
        </w:tc>
        <w:tc>
          <w:tcPr>
            <w:tcW w:w="1440" w:type="dxa"/>
          </w:tcPr>
          <w:p w14:paraId="56E1BDB6">
            <w:pPr>
              <w:jc w:val="center"/>
              <w:rPr>
                <w:sz w:val="18"/>
                <w:szCs w:val="18"/>
              </w:rPr>
            </w:pPr>
            <w:r>
              <w:rPr>
                <w:rFonts w:ascii="Times New Roman" w:hAnsi="Times New Roman" w:eastAsia="宋体"/>
                <w:b w:val="0"/>
                <w:i w:val="0"/>
                <w:color w:val="000000"/>
                <w:sz w:val="21"/>
                <w:szCs w:val="21"/>
              </w:rPr>
              <w:t>≤3个</w:t>
            </w:r>
          </w:p>
        </w:tc>
        <w:tc>
          <w:tcPr>
            <w:tcW w:w="1314" w:type="dxa"/>
          </w:tcPr>
          <w:p w14:paraId="697D2099">
            <w:pPr>
              <w:jc w:val="center"/>
              <w:rPr>
                <w:sz w:val="18"/>
                <w:szCs w:val="18"/>
              </w:rPr>
            </w:pPr>
            <w:r>
              <w:rPr>
                <w:rFonts w:ascii="Times New Roman" w:hAnsi="Times New Roman" w:eastAsia="宋体"/>
                <w:b w:val="0"/>
                <w:i w:val="0"/>
                <w:color w:val="000000"/>
                <w:sz w:val="21"/>
                <w:szCs w:val="21"/>
              </w:rPr>
              <w:t>低</w:t>
            </w:r>
          </w:p>
        </w:tc>
        <w:tc>
          <w:tcPr>
            <w:tcW w:w="1566" w:type="dxa"/>
          </w:tcPr>
          <w:p w14:paraId="5E7FB6F7">
            <w:pPr>
              <w:jc w:val="center"/>
              <w:rPr>
                <w:sz w:val="18"/>
                <w:szCs w:val="18"/>
              </w:rPr>
            </w:pPr>
            <w:r>
              <w:rPr>
                <w:rFonts w:ascii="Times New Roman" w:hAnsi="Times New Roman" w:eastAsia="宋体"/>
                <w:b w:val="0"/>
                <w:i w:val="0"/>
                <w:color w:val="000000"/>
                <w:sz w:val="21"/>
                <w:szCs w:val="21"/>
              </w:rPr>
              <w:t>≤5分钟</w:t>
            </w:r>
          </w:p>
        </w:tc>
        <w:tc>
          <w:tcPr>
            <w:tcW w:w="1440" w:type="dxa"/>
          </w:tcPr>
          <w:p w14:paraId="2AAA2112">
            <w:pPr>
              <w:jc w:val="center"/>
              <w:rPr>
                <w:sz w:val="18"/>
                <w:szCs w:val="18"/>
              </w:rPr>
            </w:pPr>
            <w:r>
              <w:rPr>
                <w:rFonts w:ascii="Times New Roman" w:hAnsi="Times New Roman" w:eastAsia="宋体"/>
                <w:b w:val="0"/>
                <w:i w:val="0"/>
                <w:color w:val="000000"/>
                <w:sz w:val="21"/>
                <w:szCs w:val="21"/>
              </w:rPr>
              <w:t>简单配对、模仿</w:t>
            </w:r>
          </w:p>
        </w:tc>
      </w:tr>
      <w:tr w14:paraId="4B3D7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40" w:type="dxa"/>
          </w:tcPr>
          <w:p w14:paraId="6C704722">
            <w:pPr>
              <w:jc w:val="left"/>
              <w:rPr>
                <w:sz w:val="18"/>
                <w:szCs w:val="18"/>
              </w:rPr>
            </w:pPr>
            <w:r>
              <w:rPr>
                <w:rFonts w:ascii="Times New Roman" w:hAnsi="Times New Roman" w:eastAsia="宋体"/>
                <w:b w:val="0"/>
                <w:i w:val="0"/>
                <w:color w:val="000000"/>
                <w:sz w:val="21"/>
                <w:szCs w:val="21"/>
              </w:rPr>
              <w:t>C级</w:t>
            </w:r>
          </w:p>
        </w:tc>
        <w:tc>
          <w:tcPr>
            <w:tcW w:w="1440" w:type="dxa"/>
          </w:tcPr>
          <w:p w14:paraId="221BB8CF">
            <w:pPr>
              <w:jc w:val="center"/>
              <w:rPr>
                <w:sz w:val="18"/>
                <w:szCs w:val="18"/>
              </w:rPr>
            </w:pPr>
            <w:r>
              <w:rPr>
                <w:rFonts w:ascii="Times New Roman" w:hAnsi="Times New Roman" w:eastAsia="宋体"/>
                <w:b w:val="0"/>
                <w:i w:val="0"/>
                <w:color w:val="000000"/>
                <w:sz w:val="21"/>
                <w:szCs w:val="21"/>
              </w:rPr>
              <w:t>2步～4步</w:t>
            </w:r>
          </w:p>
        </w:tc>
        <w:tc>
          <w:tcPr>
            <w:tcW w:w="1440" w:type="dxa"/>
          </w:tcPr>
          <w:p w14:paraId="2BD65251">
            <w:pPr>
              <w:jc w:val="center"/>
              <w:rPr>
                <w:sz w:val="18"/>
                <w:szCs w:val="18"/>
              </w:rPr>
            </w:pPr>
            <w:r>
              <w:rPr>
                <w:rFonts w:ascii="Times New Roman" w:hAnsi="Times New Roman" w:eastAsia="宋体"/>
                <w:b w:val="0"/>
                <w:i w:val="0"/>
                <w:color w:val="000000"/>
                <w:sz w:val="21"/>
                <w:szCs w:val="21"/>
              </w:rPr>
              <w:t>3个～6个</w:t>
            </w:r>
          </w:p>
        </w:tc>
        <w:tc>
          <w:tcPr>
            <w:tcW w:w="1314" w:type="dxa"/>
          </w:tcPr>
          <w:p w14:paraId="7AE7C55B">
            <w:pPr>
              <w:jc w:val="center"/>
              <w:rPr>
                <w:sz w:val="18"/>
                <w:szCs w:val="18"/>
              </w:rPr>
            </w:pPr>
            <w:r>
              <w:rPr>
                <w:rFonts w:ascii="Times New Roman" w:hAnsi="Times New Roman" w:eastAsia="宋体"/>
                <w:b w:val="0"/>
                <w:i w:val="0"/>
                <w:color w:val="000000"/>
                <w:sz w:val="21"/>
                <w:szCs w:val="21"/>
              </w:rPr>
              <w:t>中等</w:t>
            </w:r>
          </w:p>
        </w:tc>
        <w:tc>
          <w:tcPr>
            <w:tcW w:w="1566" w:type="dxa"/>
          </w:tcPr>
          <w:p w14:paraId="4724148A">
            <w:pPr>
              <w:jc w:val="center"/>
              <w:rPr>
                <w:sz w:val="18"/>
                <w:szCs w:val="18"/>
              </w:rPr>
            </w:pPr>
            <w:r>
              <w:rPr>
                <w:rFonts w:ascii="Times New Roman" w:hAnsi="Times New Roman" w:eastAsia="宋体"/>
                <w:b w:val="0"/>
                <w:i w:val="0"/>
                <w:color w:val="000000"/>
                <w:sz w:val="21"/>
                <w:szCs w:val="21"/>
              </w:rPr>
              <w:t>5分钟～15分钟</w:t>
            </w:r>
          </w:p>
        </w:tc>
        <w:tc>
          <w:tcPr>
            <w:tcW w:w="1440" w:type="dxa"/>
          </w:tcPr>
          <w:p w14:paraId="409B4FC1">
            <w:pPr>
              <w:jc w:val="center"/>
              <w:rPr>
                <w:sz w:val="18"/>
                <w:szCs w:val="18"/>
              </w:rPr>
            </w:pPr>
            <w:r>
              <w:rPr>
                <w:rFonts w:ascii="Times New Roman" w:hAnsi="Times New Roman" w:eastAsia="宋体"/>
                <w:b w:val="0"/>
                <w:i w:val="0"/>
                <w:color w:val="000000"/>
                <w:sz w:val="21"/>
                <w:szCs w:val="21"/>
              </w:rPr>
              <w:t>单域认知训练</w:t>
            </w:r>
          </w:p>
        </w:tc>
      </w:tr>
      <w:tr w14:paraId="77882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40" w:type="dxa"/>
          </w:tcPr>
          <w:p w14:paraId="2EE5B70F">
            <w:pPr>
              <w:jc w:val="left"/>
              <w:rPr>
                <w:sz w:val="18"/>
                <w:szCs w:val="18"/>
              </w:rPr>
            </w:pPr>
            <w:r>
              <w:rPr>
                <w:rFonts w:ascii="Times New Roman" w:hAnsi="Times New Roman" w:eastAsia="宋体"/>
                <w:b w:val="0"/>
                <w:i w:val="0"/>
                <w:color w:val="000000"/>
                <w:sz w:val="21"/>
                <w:szCs w:val="21"/>
              </w:rPr>
              <w:t>D级</w:t>
            </w:r>
          </w:p>
        </w:tc>
        <w:tc>
          <w:tcPr>
            <w:tcW w:w="1440" w:type="dxa"/>
          </w:tcPr>
          <w:p w14:paraId="15EE68D0">
            <w:pPr>
              <w:jc w:val="center"/>
              <w:rPr>
                <w:sz w:val="18"/>
                <w:szCs w:val="18"/>
              </w:rPr>
            </w:pPr>
            <w:r>
              <w:rPr>
                <w:rFonts w:ascii="Times New Roman" w:hAnsi="Times New Roman" w:eastAsia="宋体"/>
                <w:b w:val="0"/>
                <w:i w:val="0"/>
                <w:color w:val="000000"/>
                <w:sz w:val="21"/>
                <w:szCs w:val="21"/>
              </w:rPr>
              <w:t>≥4步</w:t>
            </w:r>
          </w:p>
        </w:tc>
        <w:tc>
          <w:tcPr>
            <w:tcW w:w="1440" w:type="dxa"/>
          </w:tcPr>
          <w:p w14:paraId="5D621640">
            <w:pPr>
              <w:jc w:val="center"/>
              <w:rPr>
                <w:sz w:val="18"/>
                <w:szCs w:val="18"/>
              </w:rPr>
            </w:pPr>
            <w:r>
              <w:rPr>
                <w:rFonts w:ascii="Times New Roman" w:hAnsi="Times New Roman" w:eastAsia="宋体"/>
                <w:b w:val="0"/>
                <w:i w:val="0"/>
                <w:color w:val="000000"/>
                <w:sz w:val="21"/>
                <w:szCs w:val="21"/>
              </w:rPr>
              <w:t>≥6个</w:t>
            </w:r>
          </w:p>
        </w:tc>
        <w:tc>
          <w:tcPr>
            <w:tcW w:w="1314" w:type="dxa"/>
          </w:tcPr>
          <w:p w14:paraId="17B9F12B">
            <w:pPr>
              <w:jc w:val="center"/>
              <w:rPr>
                <w:sz w:val="18"/>
                <w:szCs w:val="18"/>
              </w:rPr>
            </w:pPr>
            <w:r>
              <w:rPr>
                <w:rFonts w:ascii="Times New Roman" w:hAnsi="Times New Roman" w:eastAsia="宋体"/>
                <w:b w:val="0"/>
                <w:i w:val="0"/>
                <w:color w:val="000000"/>
                <w:sz w:val="21"/>
                <w:szCs w:val="21"/>
              </w:rPr>
              <w:t>较高</w:t>
            </w:r>
          </w:p>
        </w:tc>
        <w:tc>
          <w:tcPr>
            <w:tcW w:w="1566" w:type="dxa"/>
          </w:tcPr>
          <w:p w14:paraId="192A9C31">
            <w:pPr>
              <w:jc w:val="center"/>
              <w:rPr>
                <w:sz w:val="18"/>
                <w:szCs w:val="18"/>
              </w:rPr>
            </w:pPr>
            <w:r>
              <w:rPr>
                <w:rFonts w:ascii="Times New Roman" w:hAnsi="Times New Roman" w:eastAsia="宋体"/>
                <w:b w:val="0"/>
                <w:i w:val="0"/>
                <w:color w:val="000000"/>
                <w:sz w:val="21"/>
                <w:szCs w:val="21"/>
              </w:rPr>
              <w:t>15分钟～30分钟</w:t>
            </w:r>
          </w:p>
        </w:tc>
        <w:tc>
          <w:tcPr>
            <w:tcW w:w="1440" w:type="dxa"/>
          </w:tcPr>
          <w:p w14:paraId="7F9584FC">
            <w:pPr>
              <w:jc w:val="center"/>
              <w:rPr>
                <w:sz w:val="18"/>
                <w:szCs w:val="18"/>
              </w:rPr>
            </w:pPr>
            <w:r>
              <w:rPr>
                <w:rFonts w:ascii="Times New Roman" w:hAnsi="Times New Roman" w:eastAsia="宋体"/>
                <w:b w:val="0"/>
                <w:i w:val="0"/>
                <w:color w:val="000000"/>
                <w:sz w:val="21"/>
                <w:szCs w:val="21"/>
              </w:rPr>
              <w:t>多域综合训练</w:t>
            </w:r>
          </w:p>
        </w:tc>
      </w:tr>
    </w:tbl>
    <w:p w14:paraId="79D83875">
      <w:pPr>
        <w:pStyle w:val="51"/>
        <w:spacing w:before="312" w:after="312"/>
      </w:pPr>
      <w:bookmarkStart w:id="31" w:name="_Toc27653"/>
      <w:bookmarkStart w:id="32" w:name="_Toc31143"/>
      <w:r>
        <w:t>适配原则</w:t>
      </w:r>
      <w:bookmarkEnd w:id="31"/>
      <w:bookmarkEnd w:id="32"/>
    </w:p>
    <w:p w14:paraId="04A3C34B">
      <w:pPr>
        <w:pStyle w:val="24"/>
        <w:rPr>
          <w:rFonts w:hint="eastAsia"/>
          <w:lang w:eastAsia="zh-CN"/>
        </w:rPr>
      </w:pPr>
      <w:r>
        <w:rPr>
          <w:rFonts w:hint="eastAsia"/>
          <w:lang w:eastAsia="zh-CN"/>
        </w:rPr>
        <w:t>电子玩具的分级适配遵循以下原则：</w:t>
      </w:r>
    </w:p>
    <w:p w14:paraId="43A6F40A">
      <w:pPr>
        <w:pStyle w:val="24"/>
        <w:rPr>
          <w:rFonts w:hint="eastAsia"/>
          <w:lang w:eastAsia="zh-CN"/>
        </w:rPr>
      </w:pPr>
      <w:r>
        <w:rPr>
          <w:rFonts w:hint="eastAsia"/>
          <w:lang w:eastAsia="zh-CN"/>
        </w:rPr>
        <w:t>a）安全性原则：电子玩具宜符合GB 6675.1及GB 6675.2系列标准的安全要求，其中电气安全、材料安全宜满足GB 6675.1的相应规定，结构安全宜满足GB 6675.2的相应规定；</w:t>
      </w:r>
    </w:p>
    <w:p w14:paraId="621D9ECE">
      <w:pPr>
        <w:pStyle w:val="24"/>
        <w:rPr>
          <w:rFonts w:hint="eastAsia"/>
          <w:lang w:eastAsia="zh-CN"/>
        </w:rPr>
      </w:pPr>
      <w:r>
        <w:rPr>
          <w:rFonts w:hint="eastAsia"/>
          <w:lang w:eastAsia="zh-CN"/>
        </w:rPr>
        <w:t>b）个体化原则：适配宜基于个体认知评估结果、兴趣爱好、文化背景及生活环境进行综合考量；</w:t>
      </w:r>
    </w:p>
    <w:p w14:paraId="77BD7322">
      <w:pPr>
        <w:pStyle w:val="24"/>
        <w:rPr>
          <w:rFonts w:hint="eastAsia"/>
          <w:lang w:eastAsia="zh-CN"/>
        </w:rPr>
      </w:pPr>
      <w:r>
        <w:rPr>
          <w:rFonts w:hint="eastAsia"/>
          <w:lang w:eastAsia="zh-CN"/>
        </w:rPr>
        <w:t>c）渐进性原则：适配方案宜遵循由简到繁、由被动到主动、由单一到综合的渐进路径；</w:t>
      </w:r>
    </w:p>
    <w:p w14:paraId="175C728A">
      <w:pPr>
        <w:pStyle w:val="24"/>
        <w:rPr>
          <w:rFonts w:hint="eastAsia"/>
          <w:lang w:eastAsia="zh-CN"/>
        </w:rPr>
      </w:pPr>
      <w:r>
        <w:rPr>
          <w:rFonts w:hint="eastAsia"/>
          <w:lang w:eastAsia="zh-CN"/>
        </w:rPr>
        <w:t>d）参与性原则：在适配过程中宜充分尊重使用者的意愿，鼓励其参与选择和试用；</w:t>
      </w:r>
    </w:p>
    <w:p w14:paraId="036C634B">
      <w:pPr>
        <w:pStyle w:val="24"/>
        <w:rPr>
          <w:rFonts w:hint="eastAsia"/>
          <w:lang w:eastAsia="zh-CN"/>
        </w:rPr>
      </w:pPr>
      <w:r>
        <w:rPr>
          <w:rFonts w:hint="eastAsia"/>
          <w:lang w:eastAsia="zh-CN"/>
        </w:rPr>
        <w:t>e）动态调整原则：宜根据使用者认知功能的变化、使用反馈及训练效果，定期评估并调整适配方案；</w:t>
      </w:r>
    </w:p>
    <w:p w14:paraId="1CB220DF">
      <w:pPr>
        <w:pStyle w:val="24"/>
        <w:rPr>
          <w:rFonts w:hint="eastAsia"/>
          <w:lang w:eastAsia="zh-CN"/>
        </w:rPr>
      </w:pPr>
      <w:r>
        <w:rPr>
          <w:rFonts w:hint="eastAsia"/>
          <w:lang w:eastAsia="zh-CN"/>
        </w:rPr>
        <w:t>f）辅助支持原则：除轻度认知障碍（见4.1）外，轻度痴呆（见4.2）、中度痴呆（见4.3）及重度痴呆（见4.4）人群使用电子玩具时，宜有照护者或专业人员在旁辅助。</w:t>
      </w:r>
    </w:p>
    <w:p w14:paraId="0AC5511A">
      <w:pPr>
        <w:pStyle w:val="24"/>
        <w:rPr>
          <w:rFonts w:hint="eastAsia"/>
          <w:lang w:eastAsia="zh-CN"/>
        </w:rPr>
      </w:pPr>
      <w:r>
        <w:rPr>
          <w:rFonts w:hint="eastAsia"/>
          <w:lang w:eastAsia="zh-CN"/>
        </w:rPr>
        <w:t>g）群体差异原则：宜考虑老年人、成年人、儿童等不同群体的生理特点和产品需求，进行差异化适配。</w:t>
      </w:r>
    </w:p>
    <w:p w14:paraId="28D89B05">
      <w:pPr>
        <w:pStyle w:val="51"/>
        <w:spacing w:before="312" w:after="312"/>
        <w:rPr>
          <w:rFonts w:hint="eastAsia"/>
          <w:lang w:val="en-US" w:eastAsia="zh-CN"/>
        </w:rPr>
      </w:pPr>
      <w:bookmarkStart w:id="33" w:name="_Toc8834"/>
      <w:bookmarkStart w:id="34" w:name="_Toc16062"/>
      <w:r>
        <w:t xml:space="preserve"> 适配</w:t>
      </w:r>
      <w:r>
        <w:rPr>
          <w:rFonts w:hint="eastAsia"/>
          <w:lang w:val="en-US" w:eastAsia="zh-CN"/>
        </w:rPr>
        <w:t>策略</w:t>
      </w:r>
      <w:bookmarkEnd w:id="33"/>
      <w:bookmarkEnd w:id="34"/>
    </w:p>
    <w:p w14:paraId="39DB80AA">
      <w:pPr>
        <w:pStyle w:val="50"/>
        <w:spacing w:before="156" w:after="156"/>
      </w:pPr>
      <w:bookmarkStart w:id="35" w:name="_Toc12614"/>
      <w:r>
        <w:t>评估流程</w:t>
      </w:r>
      <w:bookmarkEnd w:id="35"/>
    </w:p>
    <w:p w14:paraId="7E9965D1">
      <w:pPr>
        <w:pStyle w:val="24"/>
        <w:rPr>
          <w:rFonts w:hint="eastAsia"/>
          <w:lang w:eastAsia="zh-CN"/>
        </w:rPr>
      </w:pPr>
      <w:r>
        <w:rPr>
          <w:rFonts w:hint="eastAsia"/>
          <w:lang w:eastAsia="zh-CN"/>
        </w:rPr>
        <w:t>电子玩具适配前宜进行系统评估，评估流程包括：</w:t>
      </w:r>
    </w:p>
    <w:p w14:paraId="5E0E44EF">
      <w:pPr>
        <w:pStyle w:val="24"/>
        <w:rPr>
          <w:rFonts w:hint="eastAsia"/>
          <w:lang w:eastAsia="zh-CN"/>
        </w:rPr>
      </w:pPr>
      <w:r>
        <w:rPr>
          <w:rFonts w:hint="eastAsia"/>
          <w:lang w:eastAsia="zh-CN"/>
        </w:rPr>
        <w:t>a）</w:t>
      </w:r>
      <w:r>
        <w:rPr>
          <w:rFonts w:hint="eastAsia"/>
          <w:lang w:val="en-US" w:eastAsia="zh-CN"/>
        </w:rPr>
        <w:t>适配原则：认知障碍者有配合能力、无精神行为异常；</w:t>
      </w:r>
      <w:r>
        <w:rPr>
          <w:rFonts w:hint="eastAsia"/>
          <w:lang w:eastAsia="zh-CN"/>
        </w:rPr>
        <w:t>由具备资质的医师或神经心理评估师进行认知功能评估，确定认知障碍分级；</w:t>
      </w:r>
      <w:r>
        <w:rPr>
          <w:rFonts w:hint="eastAsia"/>
          <w:lang w:val="en-US" w:eastAsia="zh-CN"/>
        </w:rPr>
        <w:t>在认知训练前每个任务要有不同难度级别评估，根据评估结果找到适合认知障碍者的任务级别</w:t>
      </w:r>
      <w:r>
        <w:rPr>
          <w:rFonts w:hint="eastAsia"/>
          <w:lang w:eastAsia="zh-CN"/>
        </w:rPr>
        <w:t>；</w:t>
      </w:r>
    </w:p>
    <w:p w14:paraId="04C9C262">
      <w:pPr>
        <w:pStyle w:val="24"/>
        <w:rPr>
          <w:rFonts w:hint="eastAsia"/>
          <w:lang w:eastAsia="zh-CN"/>
        </w:rPr>
      </w:pPr>
      <w:r>
        <w:rPr>
          <w:rFonts w:hint="eastAsia"/>
          <w:lang w:eastAsia="zh-CN"/>
        </w:rPr>
        <w:t>b）功能评估：评估</w:t>
      </w:r>
      <w:r>
        <w:rPr>
          <w:rFonts w:hint="eastAsia"/>
          <w:lang w:val="en-US" w:eastAsia="zh-CN"/>
        </w:rPr>
        <w:t>认知障碍者</w:t>
      </w:r>
      <w:r>
        <w:rPr>
          <w:rFonts w:hint="eastAsia"/>
          <w:lang w:eastAsia="zh-CN"/>
        </w:rPr>
        <w:t>的感觉功能（视、听、触）、运动功能（精细动作、粗大动作）及沟通能力；</w:t>
      </w:r>
    </w:p>
    <w:p w14:paraId="6189D277">
      <w:pPr>
        <w:pStyle w:val="24"/>
        <w:rPr>
          <w:rFonts w:hint="eastAsia"/>
          <w:lang w:eastAsia="zh-CN"/>
        </w:rPr>
      </w:pPr>
      <w:r>
        <w:rPr>
          <w:rFonts w:hint="eastAsia"/>
          <w:lang w:eastAsia="zh-CN"/>
        </w:rPr>
        <w:t>c）需求评估：了解</w:t>
      </w:r>
      <w:r>
        <w:rPr>
          <w:rFonts w:hint="eastAsia"/>
          <w:lang w:val="en-US" w:eastAsia="zh-CN"/>
        </w:rPr>
        <w:t>认知障碍者</w:t>
      </w:r>
      <w:r>
        <w:rPr>
          <w:rFonts w:hint="eastAsia"/>
          <w:lang w:eastAsia="zh-CN"/>
        </w:rPr>
        <w:t>的兴趣爱好、既往职业、文化背景、生活习惯及照护环境；</w:t>
      </w:r>
    </w:p>
    <w:p w14:paraId="2CA62321">
      <w:pPr>
        <w:pStyle w:val="24"/>
        <w:rPr>
          <w:rFonts w:hint="eastAsia"/>
          <w:lang w:eastAsia="zh-CN"/>
        </w:rPr>
      </w:pPr>
      <w:r>
        <w:rPr>
          <w:rFonts w:hint="eastAsia"/>
          <w:lang w:eastAsia="zh-CN"/>
        </w:rPr>
        <w:t>d）环境评估：评估使用场所的光照、噪声、空间布局及辅助人员配置情况；</w:t>
      </w:r>
    </w:p>
    <w:p w14:paraId="58A805B5">
      <w:pPr>
        <w:pStyle w:val="24"/>
        <w:rPr>
          <w:rFonts w:hint="eastAsia"/>
          <w:lang w:eastAsia="zh-CN"/>
        </w:rPr>
      </w:pPr>
      <w:r>
        <w:rPr>
          <w:rFonts w:hint="eastAsia"/>
          <w:lang w:eastAsia="zh-CN"/>
        </w:rPr>
        <w:t>e）试配评估：在专业人员指导下进行电子玩具试用，观察</w:t>
      </w:r>
      <w:r>
        <w:rPr>
          <w:rFonts w:hint="eastAsia"/>
          <w:lang w:val="en-US" w:eastAsia="zh-CN"/>
        </w:rPr>
        <w:t>认知障碍者</w:t>
      </w:r>
      <w:r>
        <w:rPr>
          <w:rFonts w:hint="eastAsia"/>
          <w:lang w:eastAsia="zh-CN"/>
        </w:rPr>
        <w:t>的反应、参与度及情绪变化，记录操作成功率和辅助需求。</w:t>
      </w:r>
    </w:p>
    <w:p w14:paraId="618A1B7C">
      <w:pPr>
        <w:pStyle w:val="50"/>
        <w:spacing w:before="156" w:after="156"/>
      </w:pPr>
      <w:bookmarkStart w:id="36" w:name="_Toc10307"/>
      <w:r>
        <w:t>分级适配矩阵</w:t>
      </w:r>
      <w:bookmarkEnd w:id="36"/>
    </w:p>
    <w:p w14:paraId="6995807E">
      <w:pPr>
        <w:pStyle w:val="24"/>
        <w:rPr>
          <w:rFonts w:hint="eastAsia"/>
          <w:lang w:eastAsia="zh-CN"/>
        </w:rPr>
      </w:pPr>
      <w:r>
        <w:rPr>
          <w:rFonts w:hint="eastAsia"/>
          <w:lang w:eastAsia="zh-CN"/>
        </w:rPr>
        <w:t>认知障碍人群与电子玩具的分级适配关系宜符合表2的规定。</w:t>
      </w:r>
    </w:p>
    <w:p w14:paraId="2806F875">
      <w:pPr>
        <w:keepLines w:val="0"/>
        <w:spacing w:before="120" w:after="60" w:line="360" w:lineRule="auto"/>
        <w:jc w:val="center"/>
        <w:rPr>
          <w:sz w:val="21"/>
          <w:szCs w:val="21"/>
        </w:rPr>
      </w:pPr>
      <w:r>
        <w:rPr>
          <w:rFonts w:ascii="Times New Roman" w:hAnsi="Times New Roman" w:eastAsia="黑体"/>
          <w:b w:val="0"/>
          <w:bCs w:val="0"/>
          <w:i w:val="0"/>
          <w:color w:val="000000"/>
          <w:sz w:val="21"/>
          <w:szCs w:val="21"/>
        </w:rPr>
        <w:t>表2  认知障碍人群电子玩具分级适配矩阵</w:t>
      </w: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28"/>
        <w:gridCol w:w="1728"/>
        <w:gridCol w:w="1728"/>
        <w:gridCol w:w="1728"/>
        <w:gridCol w:w="1728"/>
      </w:tblGrid>
      <w:tr w14:paraId="3A23E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8" w:type="dxa"/>
          </w:tcPr>
          <w:p w14:paraId="0C54A6A3">
            <w:pPr>
              <w:jc w:val="center"/>
              <w:rPr>
                <w:b w:val="0"/>
                <w:bCs/>
                <w:sz w:val="18"/>
                <w:szCs w:val="18"/>
              </w:rPr>
            </w:pPr>
            <w:r>
              <w:rPr>
                <w:rFonts w:ascii="Times New Roman" w:hAnsi="Times New Roman" w:eastAsia="黑体"/>
                <w:b w:val="0"/>
                <w:bCs/>
                <w:i w:val="0"/>
                <w:color w:val="000000"/>
                <w:sz w:val="21"/>
                <w:szCs w:val="21"/>
              </w:rPr>
              <w:t>认知障碍分级</w:t>
            </w:r>
          </w:p>
        </w:tc>
        <w:tc>
          <w:tcPr>
            <w:tcW w:w="1728" w:type="dxa"/>
          </w:tcPr>
          <w:p w14:paraId="224EEBD9">
            <w:pPr>
              <w:jc w:val="center"/>
              <w:rPr>
                <w:b w:val="0"/>
                <w:bCs/>
                <w:sz w:val="18"/>
                <w:szCs w:val="18"/>
              </w:rPr>
            </w:pPr>
            <w:r>
              <w:rPr>
                <w:rFonts w:ascii="Times New Roman" w:hAnsi="Times New Roman" w:eastAsia="黑体"/>
                <w:b w:val="0"/>
                <w:bCs/>
                <w:i w:val="0"/>
                <w:color w:val="000000"/>
                <w:sz w:val="21"/>
                <w:szCs w:val="21"/>
              </w:rPr>
              <w:t>优先适配等级</w:t>
            </w:r>
          </w:p>
        </w:tc>
        <w:tc>
          <w:tcPr>
            <w:tcW w:w="1728" w:type="dxa"/>
          </w:tcPr>
          <w:p w14:paraId="49DD4701">
            <w:pPr>
              <w:jc w:val="center"/>
              <w:rPr>
                <w:b w:val="0"/>
                <w:bCs/>
                <w:sz w:val="18"/>
                <w:szCs w:val="18"/>
              </w:rPr>
            </w:pPr>
            <w:r>
              <w:rPr>
                <w:rFonts w:ascii="Times New Roman" w:hAnsi="Times New Roman" w:eastAsia="黑体"/>
                <w:b w:val="0"/>
                <w:bCs/>
                <w:i w:val="0"/>
                <w:color w:val="000000"/>
                <w:sz w:val="21"/>
                <w:szCs w:val="21"/>
              </w:rPr>
              <w:t>可选适配等级</w:t>
            </w:r>
          </w:p>
        </w:tc>
        <w:tc>
          <w:tcPr>
            <w:tcW w:w="1728" w:type="dxa"/>
          </w:tcPr>
          <w:p w14:paraId="2232C0E6">
            <w:pPr>
              <w:jc w:val="center"/>
              <w:rPr>
                <w:b w:val="0"/>
                <w:bCs/>
                <w:sz w:val="18"/>
                <w:szCs w:val="18"/>
              </w:rPr>
            </w:pPr>
            <w:r>
              <w:rPr>
                <w:rFonts w:ascii="Times New Roman" w:hAnsi="Times New Roman" w:eastAsia="黑体"/>
                <w:b w:val="0"/>
                <w:bCs/>
                <w:i w:val="0"/>
                <w:color w:val="000000"/>
                <w:sz w:val="21"/>
                <w:szCs w:val="21"/>
              </w:rPr>
              <w:t>禁用等级</w:t>
            </w:r>
          </w:p>
        </w:tc>
        <w:tc>
          <w:tcPr>
            <w:tcW w:w="1728" w:type="dxa"/>
          </w:tcPr>
          <w:p w14:paraId="2E8A2B3D">
            <w:pPr>
              <w:jc w:val="center"/>
              <w:rPr>
                <w:b w:val="0"/>
                <w:bCs/>
                <w:sz w:val="18"/>
                <w:szCs w:val="18"/>
              </w:rPr>
            </w:pPr>
            <w:r>
              <w:rPr>
                <w:rFonts w:ascii="Times New Roman" w:hAnsi="Times New Roman" w:eastAsia="黑体"/>
                <w:b w:val="0"/>
                <w:bCs/>
                <w:i w:val="0"/>
                <w:color w:val="000000"/>
                <w:sz w:val="21"/>
                <w:szCs w:val="21"/>
              </w:rPr>
              <w:t>适配方式</w:t>
            </w:r>
          </w:p>
        </w:tc>
      </w:tr>
      <w:tr w14:paraId="5E8E6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8" w:type="dxa"/>
          </w:tcPr>
          <w:p w14:paraId="74933849">
            <w:pPr>
              <w:jc w:val="left"/>
              <w:rPr>
                <w:sz w:val="18"/>
                <w:szCs w:val="18"/>
              </w:rPr>
            </w:pPr>
            <w:r>
              <w:rPr>
                <w:rFonts w:ascii="Times New Roman" w:hAnsi="Times New Roman" w:eastAsia="宋体"/>
                <w:b w:val="0"/>
                <w:i w:val="0"/>
                <w:color w:val="000000"/>
                <w:sz w:val="21"/>
                <w:szCs w:val="21"/>
              </w:rPr>
              <w:t>轻度认知障碍（见4.1）</w:t>
            </w:r>
          </w:p>
        </w:tc>
        <w:tc>
          <w:tcPr>
            <w:tcW w:w="1728" w:type="dxa"/>
          </w:tcPr>
          <w:p w14:paraId="13800D64">
            <w:pPr>
              <w:jc w:val="center"/>
              <w:rPr>
                <w:sz w:val="18"/>
                <w:szCs w:val="18"/>
              </w:rPr>
            </w:pPr>
            <w:r>
              <w:rPr>
                <w:rFonts w:ascii="Times New Roman" w:hAnsi="Times New Roman" w:eastAsia="宋体"/>
                <w:b w:val="0"/>
                <w:i w:val="0"/>
                <w:color w:val="000000"/>
                <w:sz w:val="21"/>
                <w:szCs w:val="21"/>
              </w:rPr>
              <w:t>C级、D级</w:t>
            </w:r>
          </w:p>
        </w:tc>
        <w:tc>
          <w:tcPr>
            <w:tcW w:w="1728" w:type="dxa"/>
          </w:tcPr>
          <w:p w14:paraId="36C1687F">
            <w:pPr>
              <w:jc w:val="center"/>
              <w:rPr>
                <w:sz w:val="18"/>
                <w:szCs w:val="18"/>
              </w:rPr>
            </w:pPr>
            <w:r>
              <w:rPr>
                <w:rFonts w:ascii="Times New Roman" w:hAnsi="Times New Roman" w:eastAsia="宋体"/>
                <w:b w:val="0"/>
                <w:i w:val="0"/>
                <w:color w:val="000000"/>
                <w:sz w:val="21"/>
                <w:szCs w:val="21"/>
              </w:rPr>
              <w:t>B级</w:t>
            </w:r>
          </w:p>
        </w:tc>
        <w:tc>
          <w:tcPr>
            <w:tcW w:w="1728" w:type="dxa"/>
          </w:tcPr>
          <w:p w14:paraId="7D32494A">
            <w:pPr>
              <w:jc w:val="center"/>
              <w:rPr>
                <w:sz w:val="18"/>
                <w:szCs w:val="18"/>
              </w:rPr>
            </w:pPr>
            <w:r>
              <w:rPr>
                <w:rFonts w:ascii="Times New Roman" w:hAnsi="Times New Roman" w:eastAsia="宋体"/>
                <w:b w:val="0"/>
                <w:i w:val="0"/>
                <w:color w:val="000000"/>
                <w:sz w:val="21"/>
                <w:szCs w:val="21"/>
              </w:rPr>
              <w:t>无</w:t>
            </w:r>
          </w:p>
        </w:tc>
        <w:tc>
          <w:tcPr>
            <w:tcW w:w="1728" w:type="dxa"/>
          </w:tcPr>
          <w:p w14:paraId="79D4FDDC">
            <w:pPr>
              <w:jc w:val="center"/>
              <w:rPr>
                <w:sz w:val="18"/>
                <w:szCs w:val="18"/>
              </w:rPr>
            </w:pPr>
            <w:r>
              <w:rPr>
                <w:rFonts w:ascii="Times New Roman" w:hAnsi="Times New Roman" w:eastAsia="宋体"/>
                <w:b w:val="0"/>
                <w:i w:val="0"/>
                <w:color w:val="000000"/>
                <w:sz w:val="21"/>
                <w:szCs w:val="21"/>
              </w:rPr>
              <w:t>独立操作为主，必要时辅助</w:t>
            </w:r>
          </w:p>
        </w:tc>
      </w:tr>
      <w:tr w14:paraId="14A4B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8" w:type="dxa"/>
          </w:tcPr>
          <w:p w14:paraId="16428B18">
            <w:pPr>
              <w:jc w:val="left"/>
              <w:rPr>
                <w:sz w:val="18"/>
                <w:szCs w:val="18"/>
              </w:rPr>
            </w:pPr>
            <w:r>
              <w:rPr>
                <w:rFonts w:ascii="Times New Roman" w:hAnsi="Times New Roman" w:eastAsia="宋体"/>
                <w:b w:val="0"/>
                <w:i w:val="0"/>
                <w:color w:val="000000"/>
                <w:sz w:val="21"/>
                <w:szCs w:val="21"/>
              </w:rPr>
              <w:t>轻度痴呆（见4.2）</w:t>
            </w:r>
          </w:p>
        </w:tc>
        <w:tc>
          <w:tcPr>
            <w:tcW w:w="1728" w:type="dxa"/>
          </w:tcPr>
          <w:p w14:paraId="570AFC6A">
            <w:pPr>
              <w:jc w:val="center"/>
              <w:rPr>
                <w:sz w:val="18"/>
                <w:szCs w:val="18"/>
              </w:rPr>
            </w:pPr>
            <w:r>
              <w:rPr>
                <w:rFonts w:ascii="Times New Roman" w:hAnsi="Times New Roman" w:eastAsia="宋体"/>
                <w:b w:val="0"/>
                <w:i w:val="0"/>
                <w:color w:val="000000"/>
                <w:sz w:val="21"/>
                <w:szCs w:val="21"/>
              </w:rPr>
              <w:t>B级、C级</w:t>
            </w:r>
          </w:p>
        </w:tc>
        <w:tc>
          <w:tcPr>
            <w:tcW w:w="1728" w:type="dxa"/>
          </w:tcPr>
          <w:p w14:paraId="6A8739DC">
            <w:pPr>
              <w:jc w:val="center"/>
              <w:rPr>
                <w:sz w:val="18"/>
                <w:szCs w:val="18"/>
              </w:rPr>
            </w:pPr>
            <w:r>
              <w:rPr>
                <w:rFonts w:ascii="Times New Roman" w:hAnsi="Times New Roman" w:eastAsia="宋体"/>
                <w:b w:val="0"/>
                <w:i w:val="0"/>
                <w:color w:val="000000"/>
                <w:sz w:val="21"/>
                <w:szCs w:val="21"/>
              </w:rPr>
              <w:t>A级</w:t>
            </w:r>
          </w:p>
        </w:tc>
        <w:tc>
          <w:tcPr>
            <w:tcW w:w="1728" w:type="dxa"/>
          </w:tcPr>
          <w:p w14:paraId="24FE44D1">
            <w:pPr>
              <w:jc w:val="center"/>
              <w:rPr>
                <w:sz w:val="18"/>
                <w:szCs w:val="18"/>
              </w:rPr>
            </w:pPr>
            <w:r>
              <w:rPr>
                <w:rFonts w:ascii="Times New Roman" w:hAnsi="Times New Roman" w:eastAsia="宋体"/>
                <w:b w:val="0"/>
                <w:i w:val="0"/>
                <w:color w:val="000000"/>
                <w:sz w:val="21"/>
                <w:szCs w:val="21"/>
              </w:rPr>
              <w:t>D级</w:t>
            </w:r>
          </w:p>
        </w:tc>
        <w:tc>
          <w:tcPr>
            <w:tcW w:w="1728" w:type="dxa"/>
          </w:tcPr>
          <w:p w14:paraId="3B9FDB71">
            <w:pPr>
              <w:jc w:val="center"/>
              <w:rPr>
                <w:sz w:val="18"/>
                <w:szCs w:val="18"/>
              </w:rPr>
            </w:pPr>
            <w:r>
              <w:rPr>
                <w:rFonts w:ascii="Times New Roman" w:hAnsi="Times New Roman" w:eastAsia="宋体"/>
                <w:b w:val="0"/>
                <w:i w:val="0"/>
                <w:color w:val="000000"/>
                <w:sz w:val="21"/>
                <w:szCs w:val="21"/>
              </w:rPr>
              <w:t>辅助性操作为主，鼓励独立尝试</w:t>
            </w:r>
          </w:p>
        </w:tc>
      </w:tr>
      <w:tr w14:paraId="12447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8" w:type="dxa"/>
          </w:tcPr>
          <w:p w14:paraId="52A9D619">
            <w:pPr>
              <w:jc w:val="left"/>
              <w:rPr>
                <w:sz w:val="18"/>
                <w:szCs w:val="18"/>
              </w:rPr>
            </w:pPr>
            <w:r>
              <w:rPr>
                <w:rFonts w:ascii="Times New Roman" w:hAnsi="Times New Roman" w:eastAsia="宋体"/>
                <w:b w:val="0"/>
                <w:i w:val="0"/>
                <w:color w:val="000000"/>
                <w:sz w:val="21"/>
                <w:szCs w:val="21"/>
              </w:rPr>
              <w:t>中度痴呆（见4.3）</w:t>
            </w:r>
          </w:p>
        </w:tc>
        <w:tc>
          <w:tcPr>
            <w:tcW w:w="1728" w:type="dxa"/>
          </w:tcPr>
          <w:p w14:paraId="64776E98">
            <w:pPr>
              <w:jc w:val="center"/>
              <w:rPr>
                <w:sz w:val="18"/>
                <w:szCs w:val="18"/>
              </w:rPr>
            </w:pPr>
            <w:r>
              <w:rPr>
                <w:rFonts w:ascii="Times New Roman" w:hAnsi="Times New Roman" w:eastAsia="宋体"/>
                <w:b w:val="0"/>
                <w:i w:val="0"/>
                <w:color w:val="000000"/>
                <w:sz w:val="21"/>
                <w:szCs w:val="21"/>
              </w:rPr>
              <w:t>B级</w:t>
            </w:r>
          </w:p>
        </w:tc>
        <w:tc>
          <w:tcPr>
            <w:tcW w:w="1728" w:type="dxa"/>
          </w:tcPr>
          <w:p w14:paraId="76D28879">
            <w:pPr>
              <w:jc w:val="center"/>
              <w:rPr>
                <w:sz w:val="18"/>
                <w:szCs w:val="18"/>
              </w:rPr>
            </w:pPr>
            <w:r>
              <w:rPr>
                <w:rFonts w:ascii="Times New Roman" w:hAnsi="Times New Roman" w:eastAsia="宋体"/>
                <w:b w:val="0"/>
                <w:i w:val="0"/>
                <w:color w:val="000000"/>
                <w:sz w:val="21"/>
                <w:szCs w:val="21"/>
              </w:rPr>
              <w:t>A级</w:t>
            </w:r>
          </w:p>
        </w:tc>
        <w:tc>
          <w:tcPr>
            <w:tcW w:w="1728" w:type="dxa"/>
          </w:tcPr>
          <w:p w14:paraId="60D6A5F6">
            <w:pPr>
              <w:jc w:val="center"/>
              <w:rPr>
                <w:sz w:val="18"/>
                <w:szCs w:val="18"/>
              </w:rPr>
            </w:pPr>
            <w:r>
              <w:rPr>
                <w:rFonts w:ascii="Times New Roman" w:hAnsi="Times New Roman" w:eastAsia="宋体"/>
                <w:b w:val="0"/>
                <w:i w:val="0"/>
                <w:color w:val="000000"/>
                <w:sz w:val="21"/>
                <w:szCs w:val="21"/>
              </w:rPr>
              <w:t>C级、D级</w:t>
            </w:r>
          </w:p>
        </w:tc>
        <w:tc>
          <w:tcPr>
            <w:tcW w:w="1728" w:type="dxa"/>
          </w:tcPr>
          <w:p w14:paraId="40CF8764">
            <w:pPr>
              <w:jc w:val="center"/>
              <w:rPr>
                <w:sz w:val="18"/>
                <w:szCs w:val="18"/>
              </w:rPr>
            </w:pPr>
            <w:r>
              <w:rPr>
                <w:rFonts w:ascii="Times New Roman" w:hAnsi="Times New Roman" w:eastAsia="宋体"/>
                <w:b w:val="0"/>
                <w:i w:val="0"/>
                <w:color w:val="000000"/>
                <w:sz w:val="21"/>
                <w:szCs w:val="21"/>
              </w:rPr>
              <w:t>辅助性操作为主</w:t>
            </w:r>
          </w:p>
        </w:tc>
      </w:tr>
      <w:tr w14:paraId="50C0B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8" w:type="dxa"/>
          </w:tcPr>
          <w:p w14:paraId="7E2E67EE">
            <w:pPr>
              <w:jc w:val="left"/>
              <w:rPr>
                <w:sz w:val="18"/>
                <w:szCs w:val="18"/>
              </w:rPr>
            </w:pPr>
            <w:r>
              <w:rPr>
                <w:rFonts w:ascii="Times New Roman" w:hAnsi="Times New Roman" w:eastAsia="宋体"/>
                <w:b w:val="0"/>
                <w:i w:val="0"/>
                <w:color w:val="000000"/>
                <w:sz w:val="21"/>
                <w:szCs w:val="21"/>
              </w:rPr>
              <w:t>重度痴呆（见4.4）</w:t>
            </w:r>
          </w:p>
        </w:tc>
        <w:tc>
          <w:tcPr>
            <w:tcW w:w="1728" w:type="dxa"/>
          </w:tcPr>
          <w:p w14:paraId="362FB0FA">
            <w:pPr>
              <w:jc w:val="center"/>
              <w:rPr>
                <w:sz w:val="18"/>
                <w:szCs w:val="18"/>
              </w:rPr>
            </w:pPr>
            <w:r>
              <w:rPr>
                <w:rFonts w:ascii="Times New Roman" w:hAnsi="Times New Roman" w:eastAsia="宋体"/>
                <w:b w:val="0"/>
                <w:i w:val="0"/>
                <w:color w:val="000000"/>
                <w:sz w:val="21"/>
                <w:szCs w:val="21"/>
              </w:rPr>
              <w:t>A级</w:t>
            </w:r>
          </w:p>
        </w:tc>
        <w:tc>
          <w:tcPr>
            <w:tcW w:w="1728" w:type="dxa"/>
          </w:tcPr>
          <w:p w14:paraId="53387175">
            <w:pPr>
              <w:jc w:val="center"/>
              <w:rPr>
                <w:sz w:val="18"/>
                <w:szCs w:val="18"/>
              </w:rPr>
            </w:pPr>
            <w:r>
              <w:rPr>
                <w:rFonts w:ascii="Times New Roman" w:hAnsi="Times New Roman" w:eastAsia="宋体"/>
                <w:b w:val="0"/>
                <w:i w:val="0"/>
                <w:color w:val="000000"/>
                <w:sz w:val="21"/>
                <w:szCs w:val="21"/>
              </w:rPr>
              <w:t>B级（简化版）</w:t>
            </w:r>
          </w:p>
        </w:tc>
        <w:tc>
          <w:tcPr>
            <w:tcW w:w="1728" w:type="dxa"/>
          </w:tcPr>
          <w:p w14:paraId="66183909">
            <w:pPr>
              <w:jc w:val="center"/>
              <w:rPr>
                <w:sz w:val="18"/>
                <w:szCs w:val="18"/>
              </w:rPr>
            </w:pPr>
            <w:r>
              <w:rPr>
                <w:rFonts w:ascii="Times New Roman" w:hAnsi="Times New Roman" w:eastAsia="宋体"/>
                <w:b w:val="0"/>
                <w:i w:val="0"/>
                <w:color w:val="000000"/>
                <w:sz w:val="21"/>
                <w:szCs w:val="21"/>
              </w:rPr>
              <w:t>C级、D级</w:t>
            </w:r>
          </w:p>
        </w:tc>
        <w:tc>
          <w:tcPr>
            <w:tcW w:w="1728" w:type="dxa"/>
          </w:tcPr>
          <w:p w14:paraId="49115271">
            <w:pPr>
              <w:jc w:val="center"/>
              <w:rPr>
                <w:sz w:val="18"/>
                <w:szCs w:val="18"/>
              </w:rPr>
            </w:pPr>
            <w:r>
              <w:rPr>
                <w:rFonts w:ascii="Times New Roman" w:hAnsi="Times New Roman" w:eastAsia="宋体"/>
                <w:b w:val="0"/>
                <w:i w:val="0"/>
                <w:color w:val="000000"/>
                <w:sz w:val="21"/>
                <w:szCs w:val="21"/>
              </w:rPr>
              <w:t>完全辅助操作</w:t>
            </w:r>
          </w:p>
        </w:tc>
      </w:tr>
    </w:tbl>
    <w:p w14:paraId="564C8122">
      <w:pPr>
        <w:pStyle w:val="50"/>
        <w:spacing w:before="156" w:after="156"/>
        <w:rPr>
          <w:rFonts w:hint="eastAsia"/>
          <w:lang w:val="en-US" w:eastAsia="zh-CN"/>
        </w:rPr>
      </w:pPr>
      <w:bookmarkStart w:id="37" w:name="_Toc27519"/>
      <w:r>
        <w:t>各等级适配方案</w:t>
      </w:r>
      <w:bookmarkEnd w:id="37"/>
    </w:p>
    <w:p w14:paraId="42384272">
      <w:pPr>
        <w:pStyle w:val="52"/>
        <w:spacing w:before="156" w:after="156"/>
      </w:pPr>
      <w:r>
        <w:t>轻度认知障碍人群适配方案</w:t>
      </w:r>
    </w:p>
    <w:p w14:paraId="663160CF">
      <w:pPr>
        <w:pStyle w:val="58"/>
        <w:rPr>
          <w:rFonts w:hint="eastAsia"/>
          <w:lang w:val="en-US" w:eastAsia="zh-CN"/>
        </w:rPr>
      </w:pPr>
      <w:r>
        <w:rPr>
          <w:rFonts w:hint="eastAsia"/>
          <w:lang w:val="en-US" w:eastAsia="zh-CN"/>
        </w:rPr>
        <w:t>优先推荐C级认知训练型电子玩具，针对复合性注意、执行功能、学习和记忆等特定认知域进行训练；</w:t>
      </w:r>
    </w:p>
    <w:p w14:paraId="0498DCD4">
      <w:pPr>
        <w:pStyle w:val="58"/>
        <w:rPr>
          <w:rFonts w:hint="eastAsia"/>
          <w:lang w:val="en-US" w:eastAsia="zh-CN"/>
        </w:rPr>
      </w:pPr>
      <w:r>
        <w:rPr>
          <w:rFonts w:hint="eastAsia"/>
          <w:lang w:val="en-US" w:eastAsia="zh-CN"/>
        </w:rPr>
        <w:t>可尝试D级综合应用型电子玩具，但宜选择具有简化模式和新手引导功能的产品；</w:t>
      </w:r>
    </w:p>
    <w:p w14:paraId="4181C393">
      <w:pPr>
        <w:pStyle w:val="58"/>
        <w:rPr>
          <w:rFonts w:hint="eastAsia"/>
          <w:lang w:val="en-US" w:eastAsia="zh-CN"/>
        </w:rPr>
      </w:pPr>
      <w:r>
        <w:rPr>
          <w:rFonts w:hint="eastAsia"/>
          <w:lang w:val="en-US" w:eastAsia="zh-CN"/>
        </w:rPr>
        <w:t>建议选择具有数据记录和进度追踪功能的产品，便于监测训练效果；</w:t>
      </w:r>
    </w:p>
    <w:p w14:paraId="34F5F55C">
      <w:pPr>
        <w:pStyle w:val="58"/>
        <w:rPr>
          <w:rFonts w:hint="eastAsia"/>
          <w:lang w:val="en-US" w:eastAsia="zh-CN"/>
        </w:rPr>
      </w:pPr>
      <w:r>
        <w:rPr>
          <w:rFonts w:hint="eastAsia"/>
          <w:lang w:val="en-US" w:eastAsia="zh-CN"/>
        </w:rPr>
        <w:t>每日使用时长建议15分钟～30分钟，可分2～3次进行；</w:t>
      </w:r>
    </w:p>
    <w:p w14:paraId="4F3DBD06">
      <w:pPr>
        <w:pStyle w:val="58"/>
        <w:rPr>
          <w:rFonts w:hint="eastAsia"/>
          <w:lang w:val="en-US" w:eastAsia="zh-CN"/>
        </w:rPr>
      </w:pPr>
      <w:r>
        <w:rPr>
          <w:rFonts w:hint="eastAsia"/>
          <w:lang w:val="en-US" w:eastAsia="zh-CN"/>
        </w:rPr>
        <w:t>鼓励参与多人互动型电子玩具，促进社会交往；</w:t>
      </w:r>
    </w:p>
    <w:p w14:paraId="03CC9C6D">
      <w:pPr>
        <w:pStyle w:val="58"/>
        <w:rPr>
          <w:rFonts w:hint="eastAsia"/>
          <w:lang w:val="en-US" w:eastAsia="zh-CN"/>
        </w:rPr>
      </w:pPr>
      <w:r>
        <w:rPr>
          <w:rFonts w:hint="eastAsia"/>
          <w:lang w:val="en-US" w:eastAsia="zh-CN"/>
        </w:rPr>
        <w:t>定期（每3个月）复评认知功能，根据评估结果调整适配方案。</w:t>
      </w:r>
    </w:p>
    <w:p w14:paraId="4838BB5F">
      <w:pPr>
        <w:pStyle w:val="52"/>
        <w:spacing w:before="156" w:after="156"/>
      </w:pPr>
      <w:r>
        <w:t>轻度痴呆人群适配方案</w:t>
      </w:r>
    </w:p>
    <w:p w14:paraId="2DA4BADC">
      <w:pPr>
        <w:pStyle w:val="58"/>
        <w:rPr>
          <w:rFonts w:hint="eastAsia"/>
          <w:lang w:val="en-US" w:eastAsia="zh-CN"/>
        </w:rPr>
      </w:pPr>
      <w:r>
        <w:rPr>
          <w:rFonts w:hint="eastAsia"/>
          <w:lang w:val="en-US" w:eastAsia="zh-CN"/>
        </w:rPr>
        <w:t>优先推荐B级简单互动型电子玩具，以成功体验和正向反馈为核心目标；</w:t>
      </w:r>
    </w:p>
    <w:p w14:paraId="1F9197C4">
      <w:pPr>
        <w:pStyle w:val="58"/>
        <w:rPr>
          <w:rFonts w:hint="eastAsia"/>
          <w:lang w:val="en-US" w:eastAsia="zh-CN"/>
        </w:rPr>
      </w:pPr>
      <w:r>
        <w:rPr>
          <w:rFonts w:hint="eastAsia"/>
          <w:lang w:val="en-US" w:eastAsia="zh-CN"/>
        </w:rPr>
        <w:t>在照护者指导下，可尝试C级产品中操作最简化的模块，如单域认知训练中的基础环节；</w:t>
      </w:r>
    </w:p>
    <w:p w14:paraId="23D01EA4">
      <w:pPr>
        <w:pStyle w:val="58"/>
        <w:rPr>
          <w:rFonts w:hint="eastAsia"/>
          <w:lang w:val="en-US" w:eastAsia="zh-CN"/>
        </w:rPr>
      </w:pPr>
      <w:r>
        <w:rPr>
          <w:rFonts w:hint="eastAsia"/>
          <w:lang w:val="en-US" w:eastAsia="zh-CN"/>
        </w:rPr>
        <w:t>选择具有大图标、高对比度、语音引导、操作容错性强的产品；</w:t>
      </w:r>
    </w:p>
    <w:p w14:paraId="2BFA0DD3">
      <w:pPr>
        <w:pStyle w:val="58"/>
        <w:rPr>
          <w:rFonts w:hint="eastAsia"/>
          <w:lang w:val="en-US" w:eastAsia="zh-CN"/>
        </w:rPr>
      </w:pPr>
      <w:r>
        <w:rPr>
          <w:rFonts w:hint="eastAsia"/>
          <w:lang w:val="en-US" w:eastAsia="zh-CN"/>
        </w:rPr>
        <w:t>单次使用时长建议5分钟～15分钟，避免疲劳和挫败感；</w:t>
      </w:r>
    </w:p>
    <w:p w14:paraId="0D1BB7D0">
      <w:pPr>
        <w:pStyle w:val="58"/>
        <w:rPr>
          <w:rFonts w:hint="eastAsia"/>
          <w:lang w:val="en-US" w:eastAsia="zh-CN"/>
        </w:rPr>
      </w:pPr>
      <w:r>
        <w:rPr>
          <w:rFonts w:hint="eastAsia"/>
          <w:lang w:val="en-US" w:eastAsia="zh-CN"/>
        </w:rPr>
        <w:t>使用过程中宜有照护者在旁陪伴，提供语言提示、手势引导或肢体辅助，鼓励其进行独立尝试；</w:t>
      </w:r>
    </w:p>
    <w:p w14:paraId="02086B24">
      <w:pPr>
        <w:pStyle w:val="58"/>
        <w:rPr>
          <w:rFonts w:hint="eastAsia"/>
          <w:lang w:val="en-US" w:eastAsia="zh-CN"/>
        </w:rPr>
      </w:pPr>
      <w:r>
        <w:rPr>
          <w:rFonts w:hint="eastAsia"/>
          <w:lang w:val="en-US" w:eastAsia="zh-CN"/>
        </w:rPr>
        <w:t>关注使用者的情绪反应，出现焦虑、抗拒或困惑时宜立即暂停并安抚；</w:t>
      </w:r>
    </w:p>
    <w:p w14:paraId="2D8A7D0F">
      <w:pPr>
        <w:pStyle w:val="58"/>
        <w:rPr>
          <w:rFonts w:hint="eastAsia"/>
          <w:lang w:val="en-US" w:eastAsia="zh-CN"/>
        </w:rPr>
      </w:pPr>
      <w:r>
        <w:rPr>
          <w:rFonts w:hint="eastAsia"/>
          <w:lang w:val="en-US" w:eastAsia="zh-CN"/>
        </w:rPr>
        <w:t>每2个月复评一次，根据认知功能变化调整适配等级。</w:t>
      </w:r>
    </w:p>
    <w:p w14:paraId="7AFD81EB">
      <w:pPr>
        <w:pStyle w:val="52"/>
        <w:spacing w:before="156" w:after="156"/>
      </w:pPr>
      <w:r>
        <w:t>中度痴呆人群适配方案</w:t>
      </w:r>
    </w:p>
    <w:p w14:paraId="548B54D5">
      <w:pPr>
        <w:pStyle w:val="58"/>
        <w:rPr>
          <w:rFonts w:hint="eastAsia"/>
          <w:lang w:val="en-US" w:eastAsia="zh-CN"/>
        </w:rPr>
      </w:pPr>
      <w:r>
        <w:rPr>
          <w:rFonts w:hint="eastAsia"/>
          <w:lang w:val="en-US" w:eastAsia="zh-CN"/>
        </w:rPr>
        <w:t>优先推荐B级简单互动型电子玩具，选择操作步骤最为简化、提示最为明确的产品；</w:t>
      </w:r>
    </w:p>
    <w:p w14:paraId="32B0C6FA">
      <w:pPr>
        <w:pStyle w:val="58"/>
        <w:rPr>
          <w:rFonts w:hint="eastAsia"/>
          <w:lang w:val="en-US" w:eastAsia="zh-CN"/>
        </w:rPr>
      </w:pPr>
      <w:r>
        <w:rPr>
          <w:rFonts w:hint="eastAsia"/>
          <w:lang w:val="en-US" w:eastAsia="zh-CN"/>
        </w:rPr>
        <w:t>不宜使用C级和D级电子玩具，避免认知负荷过高导致挫败感和情绪问题；</w:t>
      </w:r>
    </w:p>
    <w:p w14:paraId="64144CC6">
      <w:pPr>
        <w:pStyle w:val="58"/>
        <w:rPr>
          <w:rFonts w:hint="eastAsia"/>
          <w:lang w:val="en-US" w:eastAsia="zh-CN"/>
        </w:rPr>
      </w:pPr>
      <w:r>
        <w:rPr>
          <w:rFonts w:hint="eastAsia"/>
          <w:lang w:val="en-US" w:eastAsia="zh-CN"/>
        </w:rPr>
        <w:t>选择具有大图标、高对比度、语音引导、操作容错性强的产品；</w:t>
      </w:r>
    </w:p>
    <w:p w14:paraId="53866AAA">
      <w:pPr>
        <w:pStyle w:val="58"/>
        <w:rPr>
          <w:rFonts w:hint="eastAsia"/>
          <w:lang w:val="en-US" w:eastAsia="zh-CN"/>
        </w:rPr>
      </w:pPr>
      <w:r>
        <w:rPr>
          <w:rFonts w:hint="eastAsia"/>
          <w:lang w:val="en-US" w:eastAsia="zh-CN"/>
        </w:rPr>
        <w:t>单次使用时长建议5分钟～10分钟，避免疲劳；</w:t>
      </w:r>
    </w:p>
    <w:p w14:paraId="6FC49F43">
      <w:pPr>
        <w:pStyle w:val="58"/>
        <w:rPr>
          <w:rFonts w:hint="eastAsia"/>
          <w:lang w:val="en-US" w:eastAsia="zh-CN"/>
        </w:rPr>
      </w:pPr>
      <w:r>
        <w:rPr>
          <w:rFonts w:hint="eastAsia"/>
          <w:lang w:val="en-US" w:eastAsia="zh-CN"/>
        </w:rPr>
        <w:t>使用过程中宜有照护者全程陪伴，提供语言提示、手势引导或肢体辅助，以辅助性操作为主；</w:t>
      </w:r>
    </w:p>
    <w:p w14:paraId="38EA328D">
      <w:pPr>
        <w:pStyle w:val="58"/>
        <w:rPr>
          <w:rFonts w:hint="eastAsia"/>
          <w:lang w:val="en-US" w:eastAsia="zh-CN"/>
        </w:rPr>
      </w:pPr>
      <w:r>
        <w:rPr>
          <w:rFonts w:hint="eastAsia"/>
          <w:lang w:val="en-US" w:eastAsia="zh-CN"/>
        </w:rPr>
        <w:t>关注使用者的情绪反应，出现焦虑、抗拒或困惑时宜立即暂停并安抚；</w:t>
      </w:r>
    </w:p>
    <w:p w14:paraId="47C04667">
      <w:pPr>
        <w:pStyle w:val="58"/>
        <w:rPr>
          <w:rFonts w:hint="eastAsia"/>
          <w:lang w:val="en-US" w:eastAsia="zh-CN"/>
        </w:rPr>
      </w:pPr>
      <w:r>
        <w:rPr>
          <w:rFonts w:hint="eastAsia"/>
          <w:lang w:val="en-US" w:eastAsia="zh-CN"/>
        </w:rPr>
        <w:t>每月观察记录一次，根据认知功能变化及时调整适配方案。</w:t>
      </w:r>
    </w:p>
    <w:p w14:paraId="4ED9BFB0">
      <w:pPr>
        <w:pStyle w:val="52"/>
        <w:spacing w:before="156" w:after="156"/>
      </w:pPr>
      <w:r>
        <w:t>重度痴呆人群适配方案</w:t>
      </w:r>
    </w:p>
    <w:p w14:paraId="2C20F720">
      <w:pPr>
        <w:pStyle w:val="58"/>
        <w:rPr>
          <w:rFonts w:hint="eastAsia"/>
          <w:lang w:val="en-US" w:eastAsia="zh-CN"/>
        </w:rPr>
      </w:pPr>
      <w:r>
        <w:rPr>
          <w:rFonts w:hint="eastAsia"/>
          <w:lang w:val="en-US" w:eastAsia="zh-CN"/>
        </w:rPr>
        <w:t>仅推荐A级基础感官型电子玩具，以感官刺激、情绪安抚和被动参与为主要目的；</w:t>
      </w:r>
    </w:p>
    <w:p w14:paraId="0799E865">
      <w:pPr>
        <w:pStyle w:val="58"/>
        <w:rPr>
          <w:rFonts w:hint="eastAsia"/>
          <w:lang w:val="en-US" w:eastAsia="zh-CN"/>
        </w:rPr>
      </w:pPr>
      <w:r>
        <w:rPr>
          <w:rFonts w:hint="eastAsia"/>
          <w:lang w:val="en-US" w:eastAsia="zh-CN"/>
        </w:rPr>
        <w:t>选择材质柔软、无尖锐边缘、易于抓握的产品，避免误吞小零件；</w:t>
      </w:r>
    </w:p>
    <w:p w14:paraId="43F51B1E">
      <w:pPr>
        <w:pStyle w:val="58"/>
        <w:rPr>
          <w:rFonts w:hint="eastAsia"/>
          <w:lang w:val="en-US" w:eastAsia="zh-CN"/>
        </w:rPr>
      </w:pPr>
      <w:r>
        <w:rPr>
          <w:rFonts w:hint="eastAsia"/>
          <w:lang w:val="en-US" w:eastAsia="zh-CN"/>
        </w:rPr>
        <w:t>优先选择具有柔和光线、舒缓音乐、温和振动功能的产品；</w:t>
      </w:r>
    </w:p>
    <w:p w14:paraId="4DDD4814">
      <w:pPr>
        <w:pStyle w:val="58"/>
        <w:rPr>
          <w:rFonts w:hint="eastAsia"/>
          <w:lang w:val="en-US" w:eastAsia="zh-CN"/>
        </w:rPr>
      </w:pPr>
      <w:r>
        <w:rPr>
          <w:rFonts w:hint="eastAsia"/>
          <w:lang w:val="en-US" w:eastAsia="zh-CN"/>
        </w:rPr>
        <w:t>单次使用时间不限，以使用者舒适和愉悦为度；</w:t>
      </w:r>
    </w:p>
    <w:p w14:paraId="6A06801E">
      <w:pPr>
        <w:pStyle w:val="58"/>
        <w:rPr>
          <w:rFonts w:hint="eastAsia"/>
          <w:lang w:val="en-US" w:eastAsia="zh-CN"/>
        </w:rPr>
      </w:pPr>
      <w:r>
        <w:rPr>
          <w:rFonts w:hint="eastAsia"/>
          <w:lang w:val="en-US" w:eastAsia="zh-CN"/>
        </w:rPr>
        <w:t>宜由照护者全程陪伴，通过共同触摸、共同聆听等方式建立情感联结；</w:t>
      </w:r>
    </w:p>
    <w:p w14:paraId="0E73C6F2">
      <w:pPr>
        <w:pStyle w:val="58"/>
        <w:rPr>
          <w:rFonts w:hint="eastAsia"/>
          <w:lang w:val="en-US" w:eastAsia="zh-CN"/>
        </w:rPr>
      </w:pPr>
      <w:r>
        <w:rPr>
          <w:rFonts w:hint="eastAsia"/>
          <w:lang w:val="en-US" w:eastAsia="zh-CN"/>
        </w:rPr>
        <w:t>避免任何具有任务要求、评分机制或时间限制的产品；</w:t>
      </w:r>
    </w:p>
    <w:p w14:paraId="26CE21A4">
      <w:pPr>
        <w:pStyle w:val="58"/>
        <w:rPr>
          <w:rFonts w:hint="eastAsia"/>
          <w:lang w:val="en-US" w:eastAsia="zh-CN"/>
        </w:rPr>
      </w:pPr>
      <w:r>
        <w:rPr>
          <w:rFonts w:hint="eastAsia"/>
          <w:lang w:val="en-US" w:eastAsia="zh-CN"/>
        </w:rPr>
        <w:t>每月观察记录一次，重点关注情绪安抚效果和感官反应。</w:t>
      </w:r>
    </w:p>
    <w:p w14:paraId="5249F94A">
      <w:pPr>
        <w:pStyle w:val="50"/>
        <w:spacing w:before="156" w:after="156"/>
      </w:pPr>
      <w:bookmarkStart w:id="38" w:name="_Toc11616"/>
      <w:r>
        <w:t>适配注意事项</w:t>
      </w:r>
      <w:bookmarkEnd w:id="38"/>
    </w:p>
    <w:p w14:paraId="038DA34C">
      <w:pPr>
        <w:pStyle w:val="57"/>
        <w:rPr>
          <w:rFonts w:hint="eastAsia"/>
          <w:lang w:val="en-US" w:eastAsia="zh-CN"/>
        </w:rPr>
      </w:pPr>
      <w:r>
        <w:rPr>
          <w:rFonts w:hint="eastAsia"/>
          <w:lang w:val="en-US" w:eastAsia="zh-CN"/>
        </w:rPr>
        <w:t>轻度认知障碍人群（见4.1）可独立使用C级和D级电子玩具，但宜选择界面简洁、操作直观的产品，避免信息过载；</w:t>
      </w:r>
    </w:p>
    <w:p w14:paraId="3996BEDC">
      <w:pPr>
        <w:pStyle w:val="57"/>
        <w:rPr>
          <w:rFonts w:hint="eastAsia"/>
          <w:lang w:val="en-US" w:eastAsia="zh-CN"/>
        </w:rPr>
      </w:pPr>
      <w:r>
        <w:rPr>
          <w:rFonts w:hint="eastAsia"/>
          <w:lang w:val="en-US" w:eastAsia="zh-CN"/>
        </w:rPr>
        <w:t>轻度痴呆人群（见4.2）使用B级电子玩具时，宜选择具有明确提示和引导功能的产品；在照护者辅助下，可尝试C级产品中操作最简化的模块；单次使用时间不宜超过15分钟；</w:t>
      </w:r>
    </w:p>
    <w:p w14:paraId="56F26ACD">
      <w:pPr>
        <w:pStyle w:val="57"/>
        <w:rPr>
          <w:rFonts w:hint="eastAsia"/>
          <w:lang w:val="en-US" w:eastAsia="zh-CN"/>
        </w:rPr>
      </w:pPr>
      <w:r>
        <w:rPr>
          <w:rFonts w:hint="eastAsia"/>
          <w:lang w:val="en-US" w:eastAsia="zh-CN"/>
        </w:rPr>
        <w:t>中度痴呆人群（见4.3）使用B级电子玩具时，宜选择操作最简化、提示最明确的产品；不宜使用C级和D级产品；单次使用时间不宜超过10分钟；</w:t>
      </w:r>
    </w:p>
    <w:p w14:paraId="6E1E63F1">
      <w:pPr>
        <w:pStyle w:val="57"/>
        <w:rPr>
          <w:rFonts w:hint="eastAsia"/>
          <w:lang w:val="en-US" w:eastAsia="zh-CN"/>
        </w:rPr>
      </w:pPr>
      <w:r>
        <w:rPr>
          <w:rFonts w:hint="eastAsia"/>
          <w:lang w:val="en-US" w:eastAsia="zh-CN"/>
        </w:rPr>
        <w:t>重度痴呆人群（见4.4）使用A级电子玩具时，宜以感官刺激和情绪安抚为主要目的，避免任何形式的任务要求或竞争压力；</w:t>
      </w:r>
    </w:p>
    <w:p w14:paraId="6896B702">
      <w:pPr>
        <w:pStyle w:val="57"/>
        <w:rPr>
          <w:rFonts w:hint="eastAsia"/>
          <w:lang w:val="en-US" w:eastAsia="zh-CN"/>
        </w:rPr>
      </w:pPr>
      <w:r>
        <w:rPr>
          <w:rFonts w:hint="eastAsia"/>
          <w:lang w:val="en-US" w:eastAsia="zh-CN"/>
        </w:rPr>
        <w:t>跨级适配（如中度障碍使用D级产品）仅在专业康复治疗师指导下，经个体化评估后可谨慎尝试；</w:t>
      </w:r>
    </w:p>
    <w:p w14:paraId="3DC0A50A">
      <w:pPr>
        <w:pStyle w:val="57"/>
        <w:rPr>
          <w:rFonts w:hint="eastAsia"/>
          <w:lang w:val="en-US" w:eastAsia="zh-CN"/>
        </w:rPr>
      </w:pPr>
      <w:r>
        <w:rPr>
          <w:rFonts w:hint="eastAsia"/>
          <w:lang w:val="en-US" w:eastAsia="zh-CN"/>
        </w:rPr>
        <w:t>同一使用者可根据不同时间、不同状态（如疲劳程度、情绪状态）灵活调整适配等级。</w:t>
      </w:r>
    </w:p>
    <w:p w14:paraId="4D8CC94C">
      <w:pPr>
        <w:pStyle w:val="51"/>
        <w:spacing w:before="312" w:after="312"/>
      </w:pPr>
      <w:bookmarkStart w:id="39" w:name="_Toc30827"/>
      <w:bookmarkStart w:id="40" w:name="_Toc18792"/>
      <w:r>
        <w:t>电子玩具设计需考虑的因素</w:t>
      </w:r>
      <w:bookmarkEnd w:id="39"/>
      <w:bookmarkEnd w:id="40"/>
    </w:p>
    <w:p w14:paraId="7593B382">
      <w:pPr>
        <w:pStyle w:val="50"/>
        <w:spacing w:before="156" w:after="156"/>
      </w:pPr>
      <w:bookmarkStart w:id="41" w:name="_Toc2803"/>
      <w:r>
        <w:t>感官设计</w:t>
      </w:r>
      <w:bookmarkEnd w:id="41"/>
    </w:p>
    <w:p w14:paraId="4DD0AD45">
      <w:pPr>
        <w:pStyle w:val="57"/>
        <w:rPr>
          <w:rFonts w:hint="eastAsia"/>
          <w:lang w:val="en-US" w:eastAsia="zh-CN"/>
        </w:rPr>
      </w:pPr>
      <w:r>
        <w:rPr>
          <w:rFonts w:hint="eastAsia"/>
          <w:lang w:val="en-US" w:eastAsia="zh-CN"/>
        </w:rPr>
        <w:t>视觉设计：界面宜采用高对比度配色（前景与背景对比度不低于4.5:1），字体大小不小于18pt，图标尺寸不小于2cm×2cm，避免使用闪烁或快速变化的视觉元素；</w:t>
      </w:r>
    </w:p>
    <w:p w14:paraId="74A8C6FA">
      <w:pPr>
        <w:pStyle w:val="57"/>
        <w:rPr>
          <w:rFonts w:hint="eastAsia"/>
          <w:lang w:val="en-US" w:eastAsia="zh-CN"/>
        </w:rPr>
      </w:pPr>
      <w:r>
        <w:rPr>
          <w:rFonts w:hint="eastAsia"/>
          <w:lang w:val="en-US" w:eastAsia="zh-CN"/>
        </w:rPr>
        <w:t>听觉设计：声音提示宜清晰、温和，音量可调（40dB～80dB），避免刺耳或突然的声响，重要提示宜配合视觉反馈；</w:t>
      </w:r>
    </w:p>
    <w:p w14:paraId="4D718D84">
      <w:pPr>
        <w:pStyle w:val="57"/>
        <w:rPr>
          <w:rFonts w:hint="eastAsia"/>
          <w:lang w:val="en-US" w:eastAsia="zh-CN"/>
        </w:rPr>
      </w:pPr>
      <w:r>
        <w:rPr>
          <w:rFonts w:hint="eastAsia"/>
          <w:lang w:val="en-US" w:eastAsia="zh-CN"/>
        </w:rPr>
        <w:t>触觉设计：操作部件宜易于抓握，表面材质宜防滑、亲肤，按键反馈宜明确（如触觉振动或轻微声响），避免需要精细动作的操作（如双指缩放、长按拖拽）。</w:t>
      </w:r>
    </w:p>
    <w:p w14:paraId="109512F2">
      <w:pPr>
        <w:pStyle w:val="50"/>
        <w:spacing w:before="156" w:after="156"/>
      </w:pPr>
      <w:bookmarkStart w:id="42" w:name="_Toc18262"/>
      <w:r>
        <w:t>交互设计</w:t>
      </w:r>
      <w:bookmarkEnd w:id="42"/>
    </w:p>
    <w:p w14:paraId="1BED485A">
      <w:pPr>
        <w:pStyle w:val="57"/>
        <w:rPr>
          <w:rFonts w:hint="eastAsia"/>
          <w:lang w:val="en-US" w:eastAsia="zh-CN"/>
        </w:rPr>
      </w:pPr>
      <w:r>
        <w:rPr>
          <w:rFonts w:hint="eastAsia"/>
          <w:lang w:val="en-US" w:eastAsia="zh-CN"/>
        </w:rPr>
        <w:t>操作逻辑宜直观一致，同一功能在不同页面宜保持相同的操作方式；</w:t>
      </w:r>
    </w:p>
    <w:p w14:paraId="3A00CCB4">
      <w:pPr>
        <w:pStyle w:val="57"/>
        <w:rPr>
          <w:rFonts w:hint="eastAsia"/>
          <w:lang w:val="en-US" w:eastAsia="zh-CN"/>
        </w:rPr>
      </w:pPr>
      <w:r>
        <w:rPr>
          <w:rFonts w:hint="eastAsia"/>
          <w:lang w:val="en-US" w:eastAsia="zh-CN"/>
        </w:rPr>
        <w:t>宜提供明确的操作引导，包括语音引导、动画演示和文字提示；</w:t>
      </w:r>
    </w:p>
    <w:p w14:paraId="62F7227D">
      <w:pPr>
        <w:pStyle w:val="57"/>
        <w:rPr>
          <w:rFonts w:hint="eastAsia"/>
          <w:lang w:val="en-US" w:eastAsia="zh-CN"/>
        </w:rPr>
      </w:pPr>
      <w:r>
        <w:rPr>
          <w:rFonts w:hint="eastAsia"/>
          <w:lang w:val="en-US" w:eastAsia="zh-CN"/>
        </w:rPr>
        <w:t>宜具有较高的容错性，允许误操作后轻松撤销或重新开始，避免惩罚性反馈；</w:t>
      </w:r>
    </w:p>
    <w:p w14:paraId="32381066">
      <w:pPr>
        <w:pStyle w:val="57"/>
        <w:rPr>
          <w:rFonts w:hint="eastAsia"/>
          <w:lang w:val="en-US" w:eastAsia="zh-CN"/>
        </w:rPr>
      </w:pPr>
      <w:r>
        <w:rPr>
          <w:rFonts w:hint="eastAsia"/>
          <w:lang w:val="en-US" w:eastAsia="zh-CN"/>
        </w:rPr>
        <w:t>任务步骤宜清晰分解，每步操作后宜给予即时正向反馈；</w:t>
      </w:r>
    </w:p>
    <w:p w14:paraId="5CBFDC32">
      <w:pPr>
        <w:pStyle w:val="57"/>
        <w:rPr>
          <w:rFonts w:hint="eastAsia"/>
          <w:lang w:val="en-US" w:eastAsia="zh-CN"/>
        </w:rPr>
      </w:pPr>
      <w:r>
        <w:rPr>
          <w:rFonts w:hint="eastAsia"/>
          <w:lang w:val="en-US" w:eastAsia="zh-CN"/>
        </w:rPr>
        <w:t>宜避免需要记忆复杂规则或进行多步骤计划的操作；</w:t>
      </w:r>
    </w:p>
    <w:p w14:paraId="0C96C6E2">
      <w:pPr>
        <w:pStyle w:val="57"/>
        <w:rPr>
          <w:rFonts w:hint="eastAsia"/>
          <w:lang w:val="en-US" w:eastAsia="zh-CN"/>
        </w:rPr>
      </w:pPr>
      <w:r>
        <w:rPr>
          <w:rFonts w:hint="eastAsia"/>
          <w:lang w:val="en-US" w:eastAsia="zh-CN"/>
        </w:rPr>
        <w:t>宜支持辅助性操作模式，允许照护者代为部分操作。</w:t>
      </w:r>
    </w:p>
    <w:p w14:paraId="3B44C877">
      <w:pPr>
        <w:pStyle w:val="50"/>
        <w:spacing w:before="156" w:after="156"/>
      </w:pPr>
      <w:bookmarkStart w:id="43" w:name="_Toc2410"/>
      <w:r>
        <w:t xml:space="preserve"> 内容设计</w:t>
      </w:r>
      <w:bookmarkEnd w:id="43"/>
    </w:p>
    <w:p w14:paraId="66C594FE">
      <w:pPr>
        <w:pStyle w:val="57"/>
        <w:rPr>
          <w:rFonts w:hint="eastAsia"/>
          <w:lang w:val="en-US" w:eastAsia="zh-CN"/>
        </w:rPr>
      </w:pPr>
      <w:r>
        <w:rPr>
          <w:rFonts w:hint="eastAsia"/>
          <w:lang w:val="en-US" w:eastAsia="zh-CN"/>
        </w:rPr>
        <w:t>内容宜贴近使用者的生活经验和文化背景，如使用熟悉的物品、场景、音乐和语言；</w:t>
      </w:r>
    </w:p>
    <w:p w14:paraId="53EF624C">
      <w:pPr>
        <w:pStyle w:val="57"/>
        <w:rPr>
          <w:rFonts w:hint="eastAsia"/>
          <w:lang w:val="en-US" w:eastAsia="zh-CN"/>
        </w:rPr>
      </w:pPr>
      <w:r>
        <w:rPr>
          <w:rFonts w:hint="eastAsia"/>
          <w:lang w:val="en-US" w:eastAsia="zh-CN"/>
        </w:rPr>
        <w:t>认知训练素材宜丰富多样，涵盖语言文字、图片、自然界动植物和日常物品等，每类均按熟悉程度梯度设计，包括常见（高频常用）、不常见（中频不常用）和罕见（低频少用）三个层次。</w:t>
      </w:r>
    </w:p>
    <w:p w14:paraId="120876B9">
      <w:pPr>
        <w:pStyle w:val="57"/>
        <w:rPr>
          <w:rFonts w:hint="eastAsia"/>
          <w:lang w:val="en-US" w:eastAsia="zh-CN"/>
        </w:rPr>
      </w:pPr>
      <w:r>
        <w:rPr>
          <w:rFonts w:hint="eastAsia"/>
          <w:lang w:val="en-US" w:eastAsia="zh-CN"/>
        </w:rPr>
        <w:t>认知训练内容宜与日常生活功能相结合，如购物、烹饪、穿衣等场景化任务；</w:t>
      </w:r>
    </w:p>
    <w:p w14:paraId="21951A7D">
      <w:pPr>
        <w:pStyle w:val="57"/>
        <w:rPr>
          <w:rFonts w:hint="eastAsia"/>
          <w:lang w:val="en-US" w:eastAsia="zh-CN"/>
        </w:rPr>
      </w:pPr>
      <w:r>
        <w:rPr>
          <w:rFonts w:hint="eastAsia"/>
          <w:lang w:val="en-US" w:eastAsia="zh-CN"/>
        </w:rPr>
        <w:t>宜提供怀旧元素（如老照片、经典音乐、传统游戏），激发积极情绪；</w:t>
      </w:r>
    </w:p>
    <w:p w14:paraId="1DB61C85">
      <w:pPr>
        <w:pStyle w:val="57"/>
        <w:rPr>
          <w:rFonts w:hint="eastAsia"/>
          <w:lang w:val="en-US" w:eastAsia="zh-CN"/>
        </w:rPr>
      </w:pPr>
      <w:r>
        <w:rPr>
          <w:rFonts w:hint="eastAsia"/>
          <w:lang w:val="en-US" w:eastAsia="zh-CN"/>
        </w:rPr>
        <w:t>认知训练任务要分为难度不同的等级，以便适用于认知障碍程度不同的人群。</w:t>
      </w:r>
    </w:p>
    <w:p w14:paraId="30C1452A">
      <w:pPr>
        <w:pStyle w:val="50"/>
        <w:spacing w:before="156" w:after="156"/>
      </w:pPr>
      <w:bookmarkStart w:id="44" w:name="_Toc9186"/>
      <w:r>
        <w:t>安全设计</w:t>
      </w:r>
      <w:bookmarkEnd w:id="44"/>
    </w:p>
    <w:p w14:paraId="5764A470">
      <w:pPr>
        <w:pStyle w:val="57"/>
        <w:rPr>
          <w:rFonts w:hint="eastAsia"/>
          <w:lang w:val="en-US" w:eastAsia="zh-CN"/>
        </w:rPr>
      </w:pPr>
      <w:r>
        <w:rPr>
          <w:rFonts w:hint="eastAsia"/>
          <w:lang w:val="en-US" w:eastAsia="zh-CN"/>
        </w:rPr>
        <w:t>电池仓宜设置防误开装置，避免使用者自行更换电池时发生危险；</w:t>
      </w:r>
    </w:p>
    <w:p w14:paraId="07FA1210">
      <w:pPr>
        <w:pStyle w:val="57"/>
        <w:rPr>
          <w:rFonts w:hint="eastAsia"/>
          <w:lang w:val="en-US" w:eastAsia="zh-CN"/>
        </w:rPr>
      </w:pPr>
      <w:r>
        <w:rPr>
          <w:rFonts w:hint="eastAsia"/>
          <w:lang w:val="en-US" w:eastAsia="zh-CN"/>
        </w:rPr>
        <w:t>充电接口宜符合安全标准，具有过充保护和短路保护功能；</w:t>
      </w:r>
    </w:p>
    <w:p w14:paraId="0ED2AEA9">
      <w:pPr>
        <w:pStyle w:val="57"/>
        <w:rPr>
          <w:rFonts w:hint="eastAsia"/>
          <w:lang w:val="en-US" w:eastAsia="zh-CN"/>
        </w:rPr>
      </w:pPr>
      <w:r>
        <w:rPr>
          <w:rFonts w:hint="eastAsia"/>
          <w:lang w:val="en-US" w:eastAsia="zh-CN"/>
        </w:rPr>
        <w:t>无线连接（如蓝牙、Wi-Fi）宜具有配对确认机制，防止未经授权的连接；</w:t>
      </w:r>
    </w:p>
    <w:p w14:paraId="0A7A232F">
      <w:pPr>
        <w:pStyle w:val="57"/>
        <w:rPr>
          <w:rFonts w:hint="eastAsia"/>
          <w:lang w:val="en-US" w:eastAsia="zh-CN"/>
        </w:rPr>
      </w:pPr>
      <w:r>
        <w:rPr>
          <w:rFonts w:hint="eastAsia"/>
          <w:lang w:val="en-US" w:eastAsia="zh-CN"/>
        </w:rPr>
        <w:t>数据收集和传输宜符合个人信息保护相关法律法规要求；</w:t>
      </w:r>
    </w:p>
    <w:p w14:paraId="682A1A16">
      <w:pPr>
        <w:pStyle w:val="57"/>
        <w:rPr>
          <w:rFonts w:hint="eastAsia"/>
          <w:lang w:val="en-US" w:eastAsia="zh-CN"/>
        </w:rPr>
      </w:pPr>
      <w:r>
        <w:rPr>
          <w:rFonts w:hint="eastAsia"/>
          <w:lang w:val="en-US" w:eastAsia="zh-CN"/>
        </w:rPr>
        <w:t>产品表面温度在正常使用条件下不宜超过45℃。</w:t>
      </w:r>
    </w:p>
    <w:p w14:paraId="2F3F0494">
      <w:pPr>
        <w:pStyle w:val="51"/>
        <w:spacing w:before="312" w:after="312"/>
      </w:pPr>
      <w:bookmarkStart w:id="45" w:name="_Toc6470"/>
      <w:bookmarkStart w:id="46" w:name="_Toc7952"/>
      <w:r>
        <w:t>评估与验证</w:t>
      </w:r>
      <w:bookmarkEnd w:id="45"/>
      <w:bookmarkEnd w:id="46"/>
    </w:p>
    <w:p w14:paraId="0D268B52">
      <w:pPr>
        <w:pStyle w:val="50"/>
        <w:spacing w:before="156" w:after="156"/>
      </w:pPr>
      <w:bookmarkStart w:id="47" w:name="_Toc18356"/>
      <w:r>
        <w:t>适配效果评估</w:t>
      </w:r>
      <w:bookmarkEnd w:id="47"/>
    </w:p>
    <w:p w14:paraId="318A778E">
      <w:pPr>
        <w:pStyle w:val="57"/>
        <w:rPr>
          <w:rFonts w:hint="eastAsia"/>
          <w:lang w:val="en-US" w:eastAsia="zh-CN"/>
        </w:rPr>
      </w:pPr>
      <w:r>
        <w:rPr>
          <w:rFonts w:hint="eastAsia"/>
          <w:lang w:val="en-US" w:eastAsia="zh-CN"/>
        </w:rPr>
        <w:t>参与度：使用者（认知障碍人群）主动操作的时间占比、操作频率及持续注意力时长；</w:t>
      </w:r>
    </w:p>
    <w:p w14:paraId="6BD82264">
      <w:pPr>
        <w:pStyle w:val="57"/>
        <w:rPr>
          <w:rFonts w:hint="eastAsia"/>
          <w:lang w:val="en-US" w:eastAsia="zh-CN"/>
        </w:rPr>
      </w:pPr>
      <w:r>
        <w:rPr>
          <w:rFonts w:hint="eastAsia"/>
          <w:lang w:val="en-US" w:eastAsia="zh-CN"/>
        </w:rPr>
        <w:t>成功率：独立或在辅助下完成操作任务的比例；</w:t>
      </w:r>
    </w:p>
    <w:p w14:paraId="19EC0DA7">
      <w:pPr>
        <w:pStyle w:val="57"/>
        <w:rPr>
          <w:rFonts w:hint="eastAsia"/>
          <w:lang w:val="en-US" w:eastAsia="zh-CN"/>
        </w:rPr>
      </w:pPr>
      <w:r>
        <w:rPr>
          <w:rFonts w:hint="eastAsia"/>
          <w:lang w:val="en-US" w:eastAsia="zh-CN"/>
        </w:rPr>
        <w:t>情绪反应：使用过程中的愉悦、平静、焦虑、抗拒等情绪表现；</w:t>
      </w:r>
    </w:p>
    <w:p w14:paraId="1070F7BA">
      <w:pPr>
        <w:pStyle w:val="57"/>
        <w:rPr>
          <w:rFonts w:hint="eastAsia"/>
          <w:lang w:val="en-US" w:eastAsia="zh-CN"/>
        </w:rPr>
      </w:pPr>
      <w:r>
        <w:rPr>
          <w:rFonts w:hint="eastAsia"/>
          <w:lang w:val="en-US" w:eastAsia="zh-CN"/>
        </w:rPr>
        <w:t>认知表现：复合性注意、执行功能、学习和记忆、语言、知觉-运动功能、社会认知等认知域的客观改善情况；</w:t>
      </w:r>
    </w:p>
    <w:p w14:paraId="5F739329">
      <w:pPr>
        <w:pStyle w:val="57"/>
        <w:rPr>
          <w:rFonts w:hint="eastAsia"/>
          <w:lang w:val="en-US" w:eastAsia="zh-CN"/>
        </w:rPr>
      </w:pPr>
      <w:r>
        <w:rPr>
          <w:rFonts w:hint="eastAsia"/>
          <w:lang w:val="en-US" w:eastAsia="zh-CN"/>
        </w:rPr>
        <w:t>功能迁移：训练效果向日常生活活动的迁移程度；</w:t>
      </w:r>
    </w:p>
    <w:p w14:paraId="3029B400">
      <w:pPr>
        <w:pStyle w:val="57"/>
        <w:rPr>
          <w:rFonts w:hint="eastAsia"/>
          <w:lang w:val="en-US" w:eastAsia="zh-CN"/>
        </w:rPr>
      </w:pPr>
      <w:r>
        <w:rPr>
          <w:rFonts w:hint="eastAsia"/>
          <w:lang w:val="en-US" w:eastAsia="zh-CN"/>
        </w:rPr>
        <w:t>满意度：使用者（或照护者）对电子玩具及适配方案的主观满意度。</w:t>
      </w:r>
    </w:p>
    <w:p w14:paraId="1D1554C4">
      <w:pPr>
        <w:pStyle w:val="50"/>
        <w:spacing w:before="156" w:after="156"/>
      </w:pPr>
      <w:bookmarkStart w:id="48" w:name="_Toc20844"/>
      <w:r>
        <w:t>评估工具</w:t>
      </w:r>
      <w:bookmarkEnd w:id="48"/>
    </w:p>
    <w:p w14:paraId="7F8DAA13">
      <w:pPr>
        <w:pStyle w:val="57"/>
        <w:rPr>
          <w:rFonts w:hint="default"/>
          <w:lang w:val="en-US" w:eastAsia="zh-CN"/>
        </w:rPr>
      </w:pPr>
      <w:r>
        <w:rPr>
          <w:rFonts w:hint="eastAsia"/>
          <w:lang w:val="en-US" w:eastAsia="zh-CN"/>
        </w:rPr>
        <w:t>认知功能评估：初筛使用8项痴呆评定问卷（Ascertain Dementia 8, AD-8，见附录B），AD-8评分≥2分时，再使用蒙特利尔认知评估量表（Montreal Cognitive Assessment，MoCA，见附录C）进行认知功能评估；痴呆严重程度分级可选择使用临床痴呆评定量表（Clinical Dementia Rating，CDR，见附录D），并宜结合日常生活能力评估、精神行为评估等进一步评估；</w:t>
      </w:r>
    </w:p>
    <w:p w14:paraId="1D27B4F0">
      <w:pPr>
        <w:pStyle w:val="57"/>
        <w:rPr>
          <w:rFonts w:hint="default"/>
          <w:lang w:val="en-US" w:eastAsia="zh-CN"/>
        </w:rPr>
      </w:pPr>
      <w:r>
        <w:rPr>
          <w:rFonts w:hint="eastAsia"/>
          <w:lang w:val="en-US" w:eastAsia="zh-CN"/>
        </w:rPr>
        <w:t>日常生活能力评估：基础性日常生活能力（BADL）常用的量表有Barthel指数和功能独立性评定量表（FIM，Functional Independence Measure）；工具性日常生活能力（IADL）常用的量表为Lawton 工具性日常生活活动量表、功能活动问卷（FAQ，Functional Activities Questionnaire）；</w:t>
      </w:r>
    </w:p>
    <w:p w14:paraId="70925F8D">
      <w:pPr>
        <w:pStyle w:val="57"/>
        <w:rPr>
          <w:rFonts w:hint="eastAsia"/>
          <w:lang w:val="en-US" w:eastAsia="zh-CN"/>
        </w:rPr>
      </w:pPr>
      <w:r>
        <w:rPr>
          <w:rFonts w:hint="eastAsia"/>
          <w:lang w:val="en-US" w:eastAsia="zh-CN"/>
        </w:rPr>
        <w:t>精神行为评估：神经精神问卷（NPI）、汉密尔顿焦虑量表（HAMA）、汉密尔顿抑郁量表（HAMD）；</w:t>
      </w:r>
    </w:p>
    <w:p w14:paraId="1DF9859F">
      <w:pPr>
        <w:pStyle w:val="57"/>
        <w:rPr>
          <w:rFonts w:hint="eastAsia"/>
          <w:lang w:val="en-US" w:eastAsia="zh-CN"/>
        </w:rPr>
      </w:pPr>
      <w:r>
        <w:rPr>
          <w:rFonts w:hint="eastAsia"/>
          <w:lang w:val="en-US" w:eastAsia="zh-CN"/>
        </w:rPr>
        <w:t>使用行为评估：操作记录分析、视频行为分析等；</w:t>
      </w:r>
    </w:p>
    <w:p w14:paraId="32B75A1B">
      <w:pPr>
        <w:pStyle w:val="57"/>
        <w:rPr>
          <w:rFonts w:hint="eastAsia"/>
          <w:lang w:val="en-US" w:eastAsia="zh-CN"/>
        </w:rPr>
      </w:pPr>
      <w:r>
        <w:rPr>
          <w:rFonts w:hint="eastAsia"/>
          <w:lang w:val="en-US" w:eastAsia="zh-CN"/>
        </w:rPr>
        <w:t>满意度评估：自编满意度问卷、结构化访谈等。</w:t>
      </w:r>
    </w:p>
    <w:p w14:paraId="5524A689">
      <w:pPr>
        <w:pStyle w:val="57"/>
        <w:rPr>
          <w:rFonts w:hint="eastAsia"/>
          <w:lang w:val="en-US" w:eastAsia="zh-CN"/>
        </w:rPr>
      </w:pPr>
      <w:r>
        <w:rPr>
          <w:rFonts w:hint="eastAsia"/>
          <w:lang w:val="en-US" w:eastAsia="zh-CN"/>
        </w:rPr>
        <w:t>日常生活能力及精神行为评定量表的使用方法及评分标准见附录E～附录K。</w:t>
      </w:r>
    </w:p>
    <w:p w14:paraId="3DA1A48F">
      <w:pPr>
        <w:pStyle w:val="50"/>
        <w:spacing w:before="156" w:after="156"/>
      </w:pPr>
      <w:bookmarkStart w:id="49" w:name="_Toc29386"/>
      <w:r>
        <w:t>评估周期</w:t>
      </w:r>
      <w:bookmarkEnd w:id="49"/>
    </w:p>
    <w:p w14:paraId="391B7BD1">
      <w:pPr>
        <w:pStyle w:val="57"/>
        <w:rPr>
          <w:rFonts w:hint="eastAsia"/>
          <w:lang w:val="en-US" w:eastAsia="zh-CN"/>
        </w:rPr>
      </w:pPr>
      <w:r>
        <w:rPr>
          <w:rFonts w:hint="eastAsia"/>
          <w:lang w:val="en-US" w:eastAsia="zh-CN"/>
        </w:rPr>
        <w:t>初次适配后1周内进行首次效果评估；</w:t>
      </w:r>
    </w:p>
    <w:p w14:paraId="73D21F09">
      <w:pPr>
        <w:pStyle w:val="57"/>
        <w:rPr>
          <w:rFonts w:hint="eastAsia"/>
          <w:lang w:val="en-US" w:eastAsia="zh-CN"/>
        </w:rPr>
      </w:pPr>
      <w:r>
        <w:rPr>
          <w:rFonts w:hint="eastAsia"/>
          <w:lang w:val="en-US" w:eastAsia="zh-CN"/>
        </w:rPr>
        <w:t>轻度认知障碍人群（见4.1）每3个月复评一次；</w:t>
      </w:r>
    </w:p>
    <w:p w14:paraId="50075CD9">
      <w:pPr>
        <w:pStyle w:val="57"/>
        <w:rPr>
          <w:rFonts w:hint="eastAsia"/>
          <w:lang w:val="en-US" w:eastAsia="zh-CN"/>
        </w:rPr>
      </w:pPr>
      <w:r>
        <w:rPr>
          <w:rFonts w:hint="eastAsia"/>
          <w:lang w:val="en-US" w:eastAsia="zh-CN"/>
        </w:rPr>
        <w:t>轻度痴呆人群（见4.2）每2个月复评一次；</w:t>
      </w:r>
    </w:p>
    <w:p w14:paraId="4AF63BB5">
      <w:pPr>
        <w:pStyle w:val="57"/>
        <w:rPr>
          <w:rFonts w:hint="eastAsia"/>
          <w:lang w:val="en-US" w:eastAsia="zh-CN"/>
        </w:rPr>
      </w:pPr>
      <w:r>
        <w:rPr>
          <w:rFonts w:hint="eastAsia"/>
          <w:lang w:val="en-US" w:eastAsia="zh-CN"/>
        </w:rPr>
        <w:t>中度痴呆人群（见4.3）每月观察记录一次；</w:t>
      </w:r>
    </w:p>
    <w:p w14:paraId="53AD2DED">
      <w:pPr>
        <w:pStyle w:val="57"/>
        <w:rPr>
          <w:rFonts w:hint="eastAsia"/>
          <w:lang w:val="en-US" w:eastAsia="zh-CN"/>
        </w:rPr>
      </w:pPr>
      <w:r>
        <w:rPr>
          <w:rFonts w:hint="eastAsia"/>
          <w:lang w:val="en-US" w:eastAsia="zh-CN"/>
        </w:rPr>
        <w:t>重度痴呆人群（见4.4）每月观察记录一次；</w:t>
      </w:r>
    </w:p>
    <w:p w14:paraId="08646919">
      <w:pPr>
        <w:pStyle w:val="57"/>
        <w:rPr>
          <w:rFonts w:hint="eastAsia"/>
          <w:lang w:val="en-US" w:eastAsia="zh-CN"/>
        </w:rPr>
      </w:pPr>
      <w:r>
        <w:rPr>
          <w:rFonts w:hint="eastAsia"/>
          <w:lang w:val="en-US" w:eastAsia="zh-CN"/>
        </w:rPr>
        <w:t>出现认知功能显著变化、健康状况改变或情绪行为异常时，宜及时进行专项评估。</w:t>
      </w:r>
    </w:p>
    <w:p w14:paraId="3EEDC08C">
      <w:pPr>
        <w:pStyle w:val="51"/>
        <w:spacing w:before="312" w:after="312"/>
      </w:pPr>
      <w:bookmarkStart w:id="50" w:name="_Toc8494"/>
      <w:bookmarkStart w:id="51" w:name="_Toc14032"/>
      <w:r>
        <w:t>适配与使用管理</w:t>
      </w:r>
      <w:bookmarkEnd w:id="50"/>
      <w:bookmarkEnd w:id="51"/>
    </w:p>
    <w:p w14:paraId="237EA1DB">
      <w:pPr>
        <w:pStyle w:val="50"/>
        <w:spacing w:before="156" w:after="156"/>
      </w:pPr>
      <w:bookmarkStart w:id="52" w:name="_Toc1869"/>
      <w:r>
        <w:t>人员要求</w:t>
      </w:r>
      <w:bookmarkEnd w:id="52"/>
    </w:p>
    <w:p w14:paraId="3B44FC4A">
      <w:pPr>
        <w:pStyle w:val="57"/>
        <w:rPr>
          <w:rFonts w:hint="eastAsia"/>
          <w:lang w:val="en-US" w:eastAsia="zh-CN"/>
        </w:rPr>
      </w:pPr>
      <w:r>
        <w:rPr>
          <w:rFonts w:hint="eastAsia"/>
          <w:lang w:val="en-US" w:eastAsia="zh-CN"/>
        </w:rPr>
        <w:t>适配评估宜由具备神经心理评估资质的医师或康复治疗师主导；</w:t>
      </w:r>
    </w:p>
    <w:p w14:paraId="1A03FFD8">
      <w:pPr>
        <w:pStyle w:val="57"/>
        <w:rPr>
          <w:rFonts w:hint="eastAsia"/>
          <w:lang w:val="en-US" w:eastAsia="zh-CN"/>
        </w:rPr>
      </w:pPr>
      <w:r>
        <w:rPr>
          <w:rFonts w:hint="eastAsia"/>
          <w:lang w:val="en-US" w:eastAsia="zh-CN"/>
        </w:rPr>
        <w:t>照护者宜接受电子玩具使用培训，了解产品功能、操作方法及安全注意事项；</w:t>
      </w:r>
    </w:p>
    <w:p w14:paraId="21D01F1B">
      <w:pPr>
        <w:pStyle w:val="57"/>
        <w:rPr>
          <w:rFonts w:hint="eastAsia"/>
          <w:lang w:val="en-US" w:eastAsia="zh-CN"/>
        </w:rPr>
      </w:pPr>
      <w:r>
        <w:rPr>
          <w:rFonts w:hint="eastAsia"/>
          <w:lang w:val="en-US" w:eastAsia="zh-CN"/>
        </w:rPr>
        <w:t>服务机构宜配备至少1名具有认知障碍康复经验的专业人员；</w:t>
      </w:r>
    </w:p>
    <w:p w14:paraId="5B03AFF3">
      <w:pPr>
        <w:pStyle w:val="57"/>
        <w:rPr>
          <w:rFonts w:hint="eastAsia"/>
          <w:lang w:val="en-US" w:eastAsia="zh-CN"/>
        </w:rPr>
      </w:pPr>
      <w:r>
        <w:rPr>
          <w:rFonts w:hint="eastAsia"/>
          <w:lang w:val="en-US" w:eastAsia="zh-CN"/>
        </w:rPr>
        <w:t>产品研发团队宜包含康复医学、心理学、人机交互等多学科专业人员。</w:t>
      </w:r>
    </w:p>
    <w:p w14:paraId="4D1DE8FC">
      <w:pPr>
        <w:pStyle w:val="50"/>
        <w:spacing w:before="156" w:after="156"/>
      </w:pPr>
      <w:bookmarkStart w:id="53" w:name="_Toc16730"/>
      <w:r>
        <w:t>环境要求</w:t>
      </w:r>
      <w:bookmarkEnd w:id="53"/>
    </w:p>
    <w:p w14:paraId="58EC5380">
      <w:pPr>
        <w:pStyle w:val="57"/>
        <w:rPr>
          <w:rFonts w:hint="eastAsia"/>
          <w:lang w:val="en-US" w:eastAsia="zh-CN"/>
        </w:rPr>
      </w:pPr>
      <w:r>
        <w:rPr>
          <w:rFonts w:hint="eastAsia"/>
          <w:lang w:val="en-US" w:eastAsia="zh-CN"/>
        </w:rPr>
        <w:t>使用场所宜光线充足、温度适宜（18℃～26℃）、通风良好；</w:t>
      </w:r>
    </w:p>
    <w:p w14:paraId="75382865">
      <w:pPr>
        <w:pStyle w:val="57"/>
        <w:rPr>
          <w:rFonts w:hint="eastAsia"/>
          <w:lang w:val="en-US" w:eastAsia="zh-CN"/>
        </w:rPr>
      </w:pPr>
      <w:r>
        <w:rPr>
          <w:rFonts w:hint="eastAsia"/>
          <w:lang w:val="en-US" w:eastAsia="zh-CN"/>
        </w:rPr>
        <w:t>环境噪声宜控制在50dB以下，避免电视、广播等背景声音干扰；</w:t>
      </w:r>
    </w:p>
    <w:p w14:paraId="32DE2CF5">
      <w:pPr>
        <w:pStyle w:val="57"/>
        <w:rPr>
          <w:rFonts w:hint="eastAsia"/>
          <w:lang w:val="en-US" w:eastAsia="zh-CN"/>
        </w:rPr>
      </w:pPr>
      <w:r>
        <w:rPr>
          <w:rFonts w:hint="eastAsia"/>
          <w:lang w:val="en-US" w:eastAsia="zh-CN"/>
        </w:rPr>
        <w:t>桌面高度宜适合使用者坐姿，桌面宽度宜不小于60cm×40cm；</w:t>
      </w:r>
    </w:p>
    <w:p w14:paraId="2525EA20">
      <w:pPr>
        <w:pStyle w:val="57"/>
        <w:rPr>
          <w:rFonts w:hint="eastAsia"/>
          <w:lang w:val="en-US" w:eastAsia="zh-CN"/>
        </w:rPr>
      </w:pPr>
      <w:r>
        <w:rPr>
          <w:rFonts w:hint="eastAsia"/>
          <w:lang w:val="en-US" w:eastAsia="zh-CN"/>
        </w:rPr>
        <w:t>使用场所宜便于照护者观察和接近，确保紧急情况可及时处置；</w:t>
      </w:r>
    </w:p>
    <w:p w14:paraId="568FDF1B">
      <w:pPr>
        <w:pStyle w:val="57"/>
        <w:rPr>
          <w:rFonts w:hint="eastAsia"/>
          <w:lang w:val="en-US" w:eastAsia="zh-CN"/>
        </w:rPr>
      </w:pPr>
      <w:r>
        <w:rPr>
          <w:rFonts w:hint="eastAsia"/>
          <w:lang w:val="en-US" w:eastAsia="zh-CN"/>
        </w:rPr>
        <w:t>电子设备宜放置稳固，电源线宜妥善收纳，避免绊倒风险。</w:t>
      </w:r>
    </w:p>
    <w:p w14:paraId="07555038">
      <w:pPr>
        <w:pStyle w:val="50"/>
        <w:spacing w:before="156" w:after="156"/>
      </w:pPr>
      <w:bookmarkStart w:id="54" w:name="_Toc19733"/>
      <w:r>
        <w:t>记录与档案</w:t>
      </w:r>
      <w:bookmarkEnd w:id="54"/>
    </w:p>
    <w:p w14:paraId="00EBA4B2">
      <w:pPr>
        <w:pStyle w:val="57"/>
        <w:rPr>
          <w:rFonts w:hint="eastAsia"/>
          <w:lang w:val="en-US" w:eastAsia="zh-CN"/>
        </w:rPr>
      </w:pPr>
      <w:r>
        <w:rPr>
          <w:rFonts w:hint="eastAsia"/>
          <w:lang w:val="en-US" w:eastAsia="zh-CN"/>
        </w:rPr>
        <w:t>宜建立电子玩具适配档案，内容包括：使用者基本信息、认知评估结果、适配方案、使用记录、效果评估及调整记录；</w:t>
      </w:r>
    </w:p>
    <w:p w14:paraId="3E37ECB2">
      <w:pPr>
        <w:pStyle w:val="57"/>
        <w:rPr>
          <w:rFonts w:hint="eastAsia"/>
          <w:lang w:val="en-US" w:eastAsia="zh-CN"/>
        </w:rPr>
      </w:pPr>
      <w:r>
        <w:rPr>
          <w:rFonts w:hint="eastAsia"/>
          <w:lang w:val="en-US" w:eastAsia="zh-CN"/>
        </w:rPr>
        <w:t>使用记录宜包括：使用日期、使用时长、使用等级、操作表现、情绪反应、辅助需求及异常情况；</w:t>
      </w:r>
    </w:p>
    <w:p w14:paraId="7D65CA15">
      <w:pPr>
        <w:pStyle w:val="57"/>
        <w:rPr>
          <w:rFonts w:hint="eastAsia"/>
          <w:lang w:val="en-US" w:eastAsia="zh-CN"/>
        </w:rPr>
      </w:pPr>
      <w:r>
        <w:rPr>
          <w:rFonts w:hint="eastAsia"/>
          <w:lang w:val="en-US" w:eastAsia="zh-CN"/>
        </w:rPr>
        <w:t>档案宜妥善保管，涉及个人信息的记录宜符合个人信息保护相关规定；</w:t>
      </w:r>
    </w:p>
    <w:p w14:paraId="189B45B2">
      <w:pPr>
        <w:pStyle w:val="57"/>
        <w:rPr>
          <w:rFonts w:hint="eastAsia"/>
          <w:lang w:val="en-US" w:eastAsia="zh-CN"/>
        </w:rPr>
      </w:pPr>
      <w:r>
        <w:rPr>
          <w:rFonts w:hint="eastAsia"/>
          <w:lang w:val="en-US" w:eastAsia="zh-CN"/>
        </w:rPr>
        <w:t>档案保存期限不宜少于使用者停止使用电子玩具后2年。</w:t>
      </w:r>
    </w:p>
    <w:p w14:paraId="314681F7">
      <w:pPr>
        <w:spacing w:line="360" w:lineRule="auto"/>
        <w:ind w:firstLine="420"/>
        <w:rPr>
          <w:rFonts w:hint="eastAsia" w:ascii="宋体" w:hAnsi="宋体" w:eastAsia="宋体"/>
          <w:b w:val="0"/>
          <w:i w:val="0"/>
          <w:sz w:val="21"/>
          <w:szCs w:val="21"/>
          <w:lang w:eastAsia="zh-CN"/>
        </w:rPr>
      </w:pPr>
      <w:r>
        <w:rPr>
          <w:rFonts w:ascii="Times New Roman" w:hAnsi="Times New Roman" w:eastAsia="宋体"/>
          <w:b w:val="0"/>
          <w:i w:val="0"/>
          <w:color w:val="000000"/>
          <w:sz w:val="24"/>
          <w:szCs w:val="24"/>
        </w:rPr>
        <w:br w:type="page"/>
      </w:r>
    </w:p>
    <w:p w14:paraId="7FAD9C77">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bookmarkStart w:id="55" w:name="_Toc1772"/>
      <w:bookmarkStart w:id="56" w:name="_Toc4962"/>
      <w:r>
        <w:rPr>
          <w:rFonts w:hint="eastAsia"/>
          <w:lang w:val="en-US" w:eastAsia="zh-CN"/>
        </w:rPr>
        <w:t>附  录 A</w:t>
      </w:r>
      <w:bookmarkEnd w:id="55"/>
      <w:bookmarkEnd w:id="56"/>
    </w:p>
    <w:p w14:paraId="03E8BC89">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（资料性）</w:t>
      </w:r>
    </w:p>
    <w:p w14:paraId="4319D0D4">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电子玩具适配评估记录表</w:t>
      </w:r>
    </w:p>
    <w:p w14:paraId="0F4E19F2">
      <w:pPr>
        <w:jc w:val="center"/>
        <w:rPr>
          <w:rFonts w:hint="eastAsia" w:ascii="宋体" w:hAnsi="宋体" w:eastAsia="宋体" w:cs="宋体"/>
        </w:rPr>
      </w:pPr>
      <w:r>
        <w:rPr>
          <w:rFonts w:hint="eastAsia" w:ascii="宋体" w:hAnsi="宋体" w:eastAsia="宋体" w:cs="宋体"/>
          <w:b w:val="0"/>
          <w:bCs w:val="0"/>
          <w:color w:val="000000"/>
          <w:sz w:val="21"/>
          <w:szCs w:val="21"/>
        </w:rPr>
        <w:t>表A.1  电子玩具适配评估记录表</w:t>
      </w:r>
    </w:p>
    <w:tbl>
      <w:tblPr>
        <w:tblStyle w:val="35"/>
        <w:tblpPr w:leftFromText="180" w:rightFromText="180" w:vertAnchor="text" w:horzAnchor="page" w:tblpX="1731" w:tblpY="333"/>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20"/>
        <w:gridCol w:w="4320"/>
      </w:tblGrid>
      <w:tr w14:paraId="2E59F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20" w:type="dxa"/>
          </w:tcPr>
          <w:p w14:paraId="262DE72E">
            <w:pPr>
              <w:jc w:val="center"/>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评估项目</w:t>
            </w:r>
          </w:p>
        </w:tc>
        <w:tc>
          <w:tcPr>
            <w:tcW w:w="4320" w:type="dxa"/>
          </w:tcPr>
          <w:p w14:paraId="73F1D1EF">
            <w:pPr>
              <w:jc w:val="center"/>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评估内容</w:t>
            </w:r>
          </w:p>
        </w:tc>
      </w:tr>
      <w:tr w14:paraId="636E3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20" w:type="dxa"/>
          </w:tcPr>
          <w:p w14:paraId="0E566699">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基本信息</w:t>
            </w:r>
          </w:p>
        </w:tc>
        <w:tc>
          <w:tcPr>
            <w:tcW w:w="4320" w:type="dxa"/>
          </w:tcPr>
          <w:p w14:paraId="217CC956">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评估日期：________</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评估人员：________</w:t>
            </w:r>
            <w:r>
              <w:rPr>
                <w:rFonts w:hint="eastAsia" w:ascii="宋体" w:hAnsi="宋体" w:eastAsia="宋体" w:cs="宋体"/>
                <w:b w:val="0"/>
                <w:bCs/>
                <w:color w:val="000000"/>
                <w:sz w:val="21"/>
                <w:szCs w:val="21"/>
              </w:rPr>
              <w:br w:type="textWrapping"/>
            </w:r>
            <w:r>
              <w:rPr>
                <w:rFonts w:hint="eastAsia" w:ascii="宋体" w:hAnsi="宋体" w:eastAsia="宋体" w:cs="宋体"/>
                <w:b w:val="0"/>
                <w:bCs/>
                <w:color w:val="000000"/>
                <w:sz w:val="21"/>
                <w:szCs w:val="21"/>
                <w:lang w:val="en-US" w:eastAsia="zh-CN"/>
              </w:rPr>
              <w:t>认知障碍</w:t>
            </w:r>
            <w:r>
              <w:rPr>
                <w:rFonts w:hint="eastAsia" w:ascii="宋体" w:hAnsi="宋体" w:eastAsia="宋体" w:cs="宋体"/>
                <w:b w:val="0"/>
                <w:bCs/>
                <w:i w:val="0"/>
                <w:color w:val="000000"/>
                <w:sz w:val="21"/>
                <w:szCs w:val="21"/>
              </w:rPr>
              <w:t>者姓名：________</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性别：□男 □女 年龄：____岁</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受教育年限：____年 既往职业：________</w:t>
            </w:r>
          </w:p>
        </w:tc>
      </w:tr>
      <w:tr w14:paraId="5F7DF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20" w:type="dxa"/>
          </w:tcPr>
          <w:p w14:paraId="53CBC425">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认知障碍分级</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（依据4）</w:t>
            </w:r>
          </w:p>
        </w:tc>
        <w:tc>
          <w:tcPr>
            <w:tcW w:w="4320" w:type="dxa"/>
          </w:tcPr>
          <w:p w14:paraId="19EEFF43">
            <w:pPr>
              <w:jc w:val="left"/>
              <w:rPr>
                <w:rFonts w:hint="eastAsia" w:ascii="宋体" w:hAnsi="宋体" w:eastAsia="宋体" w:cs="宋体"/>
                <w:b w:val="0"/>
                <w:bCs/>
                <w:i w:val="0"/>
                <w:sz w:val="21"/>
                <w:szCs w:val="21"/>
                <w:lang w:val="en-US" w:eastAsia="zh-CN"/>
              </w:rPr>
            </w:pPr>
            <w:r>
              <w:rPr>
                <w:rFonts w:hint="eastAsia" w:ascii="宋体" w:hAnsi="宋体" w:eastAsia="宋体" w:cs="宋体"/>
                <w:b w:val="0"/>
                <w:bCs/>
                <w:i w:val="0"/>
                <w:color w:val="000000"/>
                <w:sz w:val="21"/>
                <w:szCs w:val="21"/>
              </w:rPr>
              <w:t>□4.1 轻度认知障碍（MCI）</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MoCA评分：____分（2</w:t>
            </w:r>
            <w:r>
              <w:rPr>
                <w:rFonts w:hint="eastAsia" w:ascii="宋体" w:hAnsi="宋体" w:eastAsia="宋体" w:cs="宋体"/>
                <w:b w:val="0"/>
                <w:bCs/>
                <w:i w:val="0"/>
                <w:color w:val="000000"/>
                <w:sz w:val="21"/>
                <w:szCs w:val="21"/>
                <w:lang w:val="en-US" w:eastAsia="zh-CN"/>
              </w:rPr>
              <w:t>0</w:t>
            </w:r>
            <w:r>
              <w:rPr>
                <w:rFonts w:hint="eastAsia" w:ascii="宋体" w:hAnsi="宋体" w:eastAsia="宋体" w:cs="宋体"/>
                <w:b w:val="0"/>
                <w:bCs/>
                <w:i w:val="0"/>
                <w:color w:val="000000"/>
                <w:sz w:val="21"/>
                <w:szCs w:val="21"/>
                <w:lang w:eastAsia="zh-CN"/>
              </w:rPr>
              <w:t>～</w:t>
            </w:r>
            <w:r>
              <w:rPr>
                <w:rFonts w:hint="eastAsia" w:ascii="宋体" w:hAnsi="宋体" w:eastAsia="宋体" w:cs="宋体"/>
                <w:b w:val="0"/>
                <w:bCs/>
                <w:i w:val="0"/>
                <w:color w:val="000000"/>
                <w:sz w:val="21"/>
                <w:szCs w:val="21"/>
              </w:rPr>
              <w:t>25分）</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Barthel指数评分：____分（100分，完全独立）</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lang w:val="en-US" w:eastAsia="zh-CN"/>
              </w:rPr>
              <w:t>CDR评分：</w:t>
            </w:r>
            <w:r>
              <w:rPr>
                <w:rFonts w:hint="eastAsia" w:ascii="宋体" w:hAnsi="宋体" w:eastAsia="宋体" w:cs="宋体"/>
                <w:b w:val="0"/>
                <w:bCs/>
                <w:i w:val="0"/>
                <w:color w:val="000000"/>
                <w:sz w:val="21"/>
                <w:szCs w:val="21"/>
              </w:rPr>
              <w:t>____分</w:t>
            </w:r>
            <w:r>
              <w:rPr>
                <w:rFonts w:hint="eastAsia" w:ascii="宋体" w:hAnsi="宋体" w:eastAsia="宋体" w:cs="宋体"/>
                <w:b w:val="0"/>
                <w:bCs/>
                <w:i w:val="0"/>
                <w:color w:val="000000"/>
                <w:sz w:val="21"/>
                <w:szCs w:val="21"/>
                <w:lang w:val="en-US" w:eastAsia="zh-CN"/>
              </w:rPr>
              <w:t>(选填)</w:t>
            </w:r>
          </w:p>
          <w:p w14:paraId="19638187">
            <w:pPr>
              <w:jc w:val="left"/>
              <w:rPr>
                <w:rFonts w:hint="eastAsia" w:ascii="宋体" w:hAnsi="宋体" w:eastAsia="宋体" w:cs="宋体"/>
                <w:b w:val="0"/>
                <w:bCs/>
                <w:i w:val="0"/>
                <w:sz w:val="21"/>
                <w:szCs w:val="21"/>
              </w:rPr>
            </w:pPr>
            <w:r>
              <w:rPr>
                <w:rFonts w:hint="eastAsia" w:ascii="宋体" w:hAnsi="宋体" w:eastAsia="宋体" w:cs="宋体"/>
                <w:b w:val="0"/>
                <w:bCs/>
                <w:i w:val="0"/>
                <w:color w:val="000000"/>
                <w:sz w:val="21"/>
                <w:szCs w:val="21"/>
              </w:rPr>
              <w:br w:type="textWrapping"/>
            </w:r>
            <w:r>
              <w:rPr>
                <w:rFonts w:hint="eastAsia" w:ascii="宋体" w:hAnsi="宋体" w:eastAsia="宋体" w:cs="宋体"/>
                <w:b w:val="0"/>
                <w:bCs/>
                <w:i w:val="0"/>
                <w:color w:val="000000"/>
                <w:sz w:val="21"/>
                <w:szCs w:val="21"/>
              </w:rPr>
              <w:t>□4.2 轻度痴呆</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MoCA评分：____分（16</w:t>
            </w:r>
            <w:r>
              <w:rPr>
                <w:rFonts w:hint="eastAsia" w:ascii="宋体" w:hAnsi="宋体" w:eastAsia="宋体" w:cs="宋体"/>
                <w:b w:val="0"/>
                <w:bCs/>
                <w:i w:val="0"/>
                <w:color w:val="000000"/>
                <w:sz w:val="21"/>
                <w:szCs w:val="21"/>
                <w:lang w:eastAsia="zh-CN"/>
              </w:rPr>
              <w:t>～</w:t>
            </w:r>
            <w:r>
              <w:rPr>
                <w:rFonts w:hint="eastAsia" w:ascii="宋体" w:hAnsi="宋体" w:eastAsia="宋体" w:cs="宋体"/>
                <w:b w:val="0"/>
                <w:bCs/>
                <w:i w:val="0"/>
                <w:color w:val="000000"/>
                <w:sz w:val="21"/>
                <w:szCs w:val="21"/>
              </w:rPr>
              <w:t>19分）</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Barthel指数评分：____分（61</w:t>
            </w:r>
            <w:r>
              <w:rPr>
                <w:rFonts w:hint="eastAsia" w:ascii="宋体" w:hAnsi="宋体" w:eastAsia="宋体" w:cs="宋体"/>
                <w:b w:val="0"/>
                <w:bCs/>
                <w:i w:val="0"/>
                <w:color w:val="000000"/>
                <w:sz w:val="21"/>
                <w:szCs w:val="21"/>
                <w:lang w:eastAsia="zh-CN"/>
              </w:rPr>
              <w:t>～</w:t>
            </w:r>
            <w:r>
              <w:rPr>
                <w:rFonts w:hint="eastAsia" w:ascii="宋体" w:hAnsi="宋体" w:eastAsia="宋体" w:cs="宋体"/>
                <w:b w:val="0"/>
                <w:bCs/>
                <w:i w:val="0"/>
                <w:color w:val="000000"/>
                <w:sz w:val="21"/>
                <w:szCs w:val="21"/>
              </w:rPr>
              <w:t>99分，轻度依赖）</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lang w:val="en-US" w:eastAsia="zh-CN"/>
              </w:rPr>
              <w:t>CDR评分：</w:t>
            </w:r>
            <w:r>
              <w:rPr>
                <w:rFonts w:hint="eastAsia" w:ascii="宋体" w:hAnsi="宋体" w:eastAsia="宋体" w:cs="宋体"/>
                <w:b w:val="0"/>
                <w:bCs/>
                <w:i w:val="0"/>
                <w:color w:val="000000"/>
                <w:sz w:val="21"/>
                <w:szCs w:val="21"/>
              </w:rPr>
              <w:t>____分</w:t>
            </w:r>
            <w:r>
              <w:rPr>
                <w:rFonts w:hint="eastAsia" w:ascii="宋体" w:hAnsi="宋体" w:eastAsia="宋体" w:cs="宋体"/>
                <w:b w:val="0"/>
                <w:bCs/>
                <w:i w:val="0"/>
                <w:color w:val="000000"/>
                <w:sz w:val="21"/>
                <w:szCs w:val="21"/>
                <w:lang w:val="en-US" w:eastAsia="zh-CN"/>
              </w:rPr>
              <w:t>(选填)</w:t>
            </w:r>
            <w:r>
              <w:rPr>
                <w:rFonts w:hint="eastAsia" w:ascii="宋体" w:hAnsi="宋体" w:eastAsia="宋体" w:cs="宋体"/>
                <w:b w:val="0"/>
                <w:bCs/>
                <w:i w:val="0"/>
                <w:color w:val="000000"/>
                <w:sz w:val="21"/>
                <w:szCs w:val="21"/>
              </w:rPr>
              <w:br w:type="textWrapping"/>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□4.3 中度痴呆</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MoCA评分：____分（10</w:t>
            </w:r>
            <w:r>
              <w:rPr>
                <w:rFonts w:hint="eastAsia" w:ascii="宋体" w:hAnsi="宋体" w:eastAsia="宋体" w:cs="宋体"/>
                <w:b w:val="0"/>
                <w:bCs/>
                <w:i w:val="0"/>
                <w:color w:val="000000"/>
                <w:sz w:val="21"/>
                <w:szCs w:val="21"/>
                <w:lang w:eastAsia="zh-CN"/>
              </w:rPr>
              <w:t>～</w:t>
            </w:r>
            <w:r>
              <w:rPr>
                <w:rFonts w:hint="eastAsia" w:ascii="宋体" w:hAnsi="宋体" w:eastAsia="宋体" w:cs="宋体"/>
                <w:b w:val="0"/>
                <w:bCs/>
                <w:i w:val="0"/>
                <w:color w:val="000000"/>
                <w:sz w:val="21"/>
                <w:szCs w:val="21"/>
              </w:rPr>
              <w:t>15分）</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Barthel指数评分：____分（41</w:t>
            </w:r>
            <w:r>
              <w:rPr>
                <w:rFonts w:hint="eastAsia" w:ascii="宋体" w:hAnsi="宋体" w:eastAsia="宋体" w:cs="宋体"/>
                <w:b w:val="0"/>
                <w:bCs/>
                <w:i w:val="0"/>
                <w:color w:val="000000"/>
                <w:sz w:val="21"/>
                <w:szCs w:val="21"/>
                <w:lang w:eastAsia="zh-CN"/>
              </w:rPr>
              <w:t>～</w:t>
            </w:r>
            <w:r>
              <w:rPr>
                <w:rFonts w:hint="eastAsia" w:ascii="宋体" w:hAnsi="宋体" w:eastAsia="宋体" w:cs="宋体"/>
                <w:b w:val="0"/>
                <w:bCs/>
                <w:i w:val="0"/>
                <w:color w:val="000000"/>
                <w:sz w:val="21"/>
                <w:szCs w:val="21"/>
              </w:rPr>
              <w:t>60分，中度依赖）</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lang w:val="en-US" w:eastAsia="zh-CN"/>
              </w:rPr>
              <w:t>CDR评分：</w:t>
            </w:r>
            <w:r>
              <w:rPr>
                <w:rFonts w:hint="eastAsia" w:ascii="宋体" w:hAnsi="宋体" w:eastAsia="宋体" w:cs="宋体"/>
                <w:b w:val="0"/>
                <w:bCs/>
                <w:i w:val="0"/>
                <w:color w:val="000000"/>
                <w:sz w:val="21"/>
                <w:szCs w:val="21"/>
              </w:rPr>
              <w:t>____分</w:t>
            </w:r>
            <w:r>
              <w:rPr>
                <w:rFonts w:hint="eastAsia" w:ascii="宋体" w:hAnsi="宋体" w:eastAsia="宋体" w:cs="宋体"/>
                <w:b w:val="0"/>
                <w:bCs/>
                <w:i w:val="0"/>
                <w:color w:val="000000"/>
                <w:sz w:val="21"/>
                <w:szCs w:val="21"/>
                <w:lang w:val="en-US" w:eastAsia="zh-CN"/>
              </w:rPr>
              <w:t>(选填)</w:t>
            </w:r>
            <w:r>
              <w:rPr>
                <w:rFonts w:hint="eastAsia" w:ascii="宋体" w:hAnsi="宋体" w:eastAsia="宋体" w:cs="宋体"/>
                <w:b w:val="0"/>
                <w:bCs/>
                <w:i w:val="0"/>
                <w:color w:val="000000"/>
                <w:sz w:val="21"/>
                <w:szCs w:val="21"/>
              </w:rPr>
              <w:br w:type="textWrapping"/>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□4.4 重度痴呆</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MoCA评分：____分（≤9分）</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Barthel指数评分：____分（≤40分，重度依赖）</w:t>
            </w:r>
          </w:p>
          <w:p w14:paraId="16A0A893">
            <w:pPr>
              <w:jc w:val="left"/>
              <w:rPr>
                <w:rFonts w:hint="eastAsia" w:ascii="宋体" w:hAnsi="宋体" w:eastAsia="宋体" w:cs="宋体"/>
                <w:b w:val="0"/>
                <w:bCs/>
                <w:i w:val="0"/>
                <w:sz w:val="21"/>
                <w:szCs w:val="21"/>
              </w:rPr>
            </w:pPr>
            <w:r>
              <w:rPr>
                <w:rFonts w:hint="eastAsia" w:ascii="宋体" w:hAnsi="宋体" w:eastAsia="宋体" w:cs="宋体"/>
                <w:b w:val="0"/>
                <w:bCs/>
                <w:i w:val="0"/>
                <w:color w:val="000000"/>
                <w:sz w:val="21"/>
                <w:szCs w:val="21"/>
                <w:lang w:val="en-US" w:eastAsia="zh-CN"/>
              </w:rPr>
              <w:t>CDR评分：</w:t>
            </w:r>
            <w:r>
              <w:rPr>
                <w:rFonts w:hint="eastAsia" w:ascii="宋体" w:hAnsi="宋体" w:eastAsia="宋体" w:cs="宋体"/>
                <w:b w:val="0"/>
                <w:bCs/>
                <w:i w:val="0"/>
                <w:color w:val="000000"/>
                <w:sz w:val="21"/>
                <w:szCs w:val="21"/>
              </w:rPr>
              <w:t>____分</w:t>
            </w:r>
            <w:r>
              <w:rPr>
                <w:rFonts w:hint="eastAsia" w:ascii="宋体" w:hAnsi="宋体" w:eastAsia="宋体" w:cs="宋体"/>
                <w:b w:val="0"/>
                <w:bCs/>
                <w:i w:val="0"/>
                <w:color w:val="000000"/>
                <w:sz w:val="21"/>
                <w:szCs w:val="21"/>
                <w:lang w:val="en-US" w:eastAsia="zh-CN"/>
              </w:rPr>
              <w:t>(选填)</w:t>
            </w:r>
          </w:p>
        </w:tc>
      </w:tr>
      <w:tr w14:paraId="6D58F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20" w:type="dxa"/>
          </w:tcPr>
          <w:p w14:paraId="0E11285C">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认知域功能评估</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（DSM</w:t>
            </w:r>
            <w:r>
              <w:rPr>
                <w:rFonts w:hint="eastAsia" w:ascii="宋体" w:hAnsi="宋体" w:eastAsia="宋体" w:cs="宋体"/>
                <w:b w:val="0"/>
                <w:bCs/>
                <w:i w:val="0"/>
                <w:color w:val="000000"/>
                <w:sz w:val="21"/>
                <w:szCs w:val="21"/>
                <w:lang w:eastAsia="zh-CN"/>
              </w:rPr>
              <w:t>～</w:t>
            </w:r>
            <w:r>
              <w:rPr>
                <w:rFonts w:hint="eastAsia" w:ascii="宋体" w:hAnsi="宋体" w:eastAsia="宋体" w:cs="宋体"/>
                <w:b w:val="0"/>
                <w:bCs/>
                <w:i w:val="0"/>
                <w:color w:val="000000"/>
                <w:sz w:val="21"/>
                <w:szCs w:val="21"/>
              </w:rPr>
              <w:t>5六大核心认知域）</w:t>
            </w:r>
          </w:p>
        </w:tc>
        <w:tc>
          <w:tcPr>
            <w:tcW w:w="4320" w:type="dxa"/>
          </w:tcPr>
          <w:p w14:paraId="7D43E881">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w:t>
            </w:r>
            <w:r>
              <w:rPr>
                <w:rFonts w:hint="eastAsia" w:ascii="宋体" w:hAnsi="宋体" w:eastAsia="宋体" w:cs="宋体"/>
                <w:b w:val="0"/>
                <w:bCs/>
                <w:i w:val="0"/>
                <w:color w:val="000000"/>
                <w:sz w:val="21"/>
                <w:szCs w:val="21"/>
                <w:lang w:eastAsia="zh-CN"/>
              </w:rPr>
              <w:t>复合性注意</w:t>
            </w:r>
            <w:r>
              <w:rPr>
                <w:rFonts w:hint="eastAsia" w:ascii="宋体" w:hAnsi="宋体" w:eastAsia="宋体" w:cs="宋体"/>
                <w:b w:val="0"/>
                <w:bCs/>
                <w:i w:val="0"/>
                <w:color w:val="000000"/>
                <w:sz w:val="21"/>
                <w:szCs w:val="21"/>
              </w:rPr>
              <w:t>：□正常 □下降</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□执行功能：□正常 □下降</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□学习和记忆：□正常 □下降</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□语言：□正常 □下降</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□知觉</w:t>
            </w:r>
            <w:r>
              <w:rPr>
                <w:rFonts w:hint="eastAsia" w:ascii="宋体" w:hAnsi="宋体" w:eastAsia="宋体" w:cs="宋体"/>
                <w:b w:val="0"/>
                <w:bCs/>
                <w:i w:val="0"/>
                <w:color w:val="000000"/>
                <w:sz w:val="21"/>
                <w:szCs w:val="21"/>
                <w:lang w:eastAsia="zh-CN"/>
              </w:rPr>
              <w:t>～</w:t>
            </w:r>
            <w:r>
              <w:rPr>
                <w:rFonts w:hint="eastAsia" w:ascii="宋体" w:hAnsi="宋体" w:eastAsia="宋体" w:cs="宋体"/>
                <w:b w:val="0"/>
                <w:bCs/>
                <w:i w:val="0"/>
                <w:color w:val="000000"/>
                <w:sz w:val="21"/>
                <w:szCs w:val="21"/>
              </w:rPr>
              <w:t>运动功能：□正常 □下降</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□社会认知：□正常 □下降</w:t>
            </w:r>
          </w:p>
        </w:tc>
      </w:tr>
      <w:tr w14:paraId="7747F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20" w:type="dxa"/>
          </w:tcPr>
          <w:p w14:paraId="59B05D35">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需求评估</w:t>
            </w:r>
          </w:p>
        </w:tc>
        <w:tc>
          <w:tcPr>
            <w:tcW w:w="4320" w:type="dxa"/>
          </w:tcPr>
          <w:p w14:paraId="3E0285D9">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兴趣爱好：________________</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文化背景：________________</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生活习惯：________________</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照护环境：□居家 □社区 □养老机构 □医院</w:t>
            </w:r>
          </w:p>
        </w:tc>
      </w:tr>
      <w:tr w14:paraId="3BB7C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20" w:type="dxa"/>
          </w:tcPr>
          <w:p w14:paraId="50471614">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环境评估</w:t>
            </w:r>
          </w:p>
        </w:tc>
        <w:tc>
          <w:tcPr>
            <w:tcW w:w="4320" w:type="dxa"/>
          </w:tcPr>
          <w:p w14:paraId="77953613">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使用场所光照：□充足 □一般 □不足</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环境噪声：□≤50dB □50</w:t>
            </w:r>
            <w:r>
              <w:rPr>
                <w:rFonts w:hint="eastAsia" w:ascii="宋体" w:hAnsi="宋体" w:eastAsia="宋体" w:cs="宋体"/>
                <w:b w:val="0"/>
                <w:bCs/>
                <w:i w:val="0"/>
                <w:color w:val="000000"/>
                <w:sz w:val="21"/>
                <w:szCs w:val="21"/>
                <w:lang w:eastAsia="zh-CN"/>
              </w:rPr>
              <w:t>～</w:t>
            </w:r>
            <w:r>
              <w:rPr>
                <w:rFonts w:hint="eastAsia" w:ascii="宋体" w:hAnsi="宋体" w:eastAsia="宋体" w:cs="宋体"/>
                <w:b w:val="0"/>
                <w:bCs/>
                <w:i w:val="0"/>
                <w:color w:val="000000"/>
                <w:sz w:val="21"/>
                <w:szCs w:val="21"/>
              </w:rPr>
              <w:t>70dB □＞70dB</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空间布局：□宽敞便于照护 □一般 □狭窄受限</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辅助人员配置：□有专业照护者 □有家属照护 □无固定照护者</w:t>
            </w:r>
          </w:p>
        </w:tc>
      </w:tr>
      <w:tr w14:paraId="4F353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20" w:type="dxa"/>
          </w:tcPr>
          <w:p w14:paraId="5A92E2D7">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试配产品信息</w:t>
            </w:r>
          </w:p>
        </w:tc>
        <w:tc>
          <w:tcPr>
            <w:tcW w:w="4320" w:type="dxa"/>
          </w:tcPr>
          <w:p w14:paraId="31F00029">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产品名称：________</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产品等级：□A级（基础感官型） □B级（简单互动型）</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□C级（认知训练型） □D级（综合应用型）</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试配时长：____分钟</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操作步骤数：____步 界面元素数：____个</w:t>
            </w:r>
          </w:p>
        </w:tc>
      </w:tr>
      <w:tr w14:paraId="6B559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20" w:type="dxa"/>
          </w:tcPr>
          <w:p w14:paraId="1354902D">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试配观察记录</w:t>
            </w:r>
          </w:p>
        </w:tc>
        <w:tc>
          <w:tcPr>
            <w:tcW w:w="4320" w:type="dxa"/>
          </w:tcPr>
          <w:p w14:paraId="5D675442">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参与度：□高（主动操作时间占比＞70%） □中（30%</w:t>
            </w:r>
            <w:r>
              <w:rPr>
                <w:rFonts w:hint="eastAsia" w:ascii="宋体" w:hAnsi="宋体" w:eastAsia="宋体" w:cs="宋体"/>
                <w:b w:val="0"/>
                <w:bCs/>
                <w:i w:val="0"/>
                <w:color w:val="000000"/>
                <w:sz w:val="21"/>
                <w:szCs w:val="21"/>
                <w:lang w:eastAsia="zh-CN"/>
              </w:rPr>
              <w:t>～</w:t>
            </w:r>
            <w:r>
              <w:rPr>
                <w:rFonts w:hint="eastAsia" w:ascii="宋体" w:hAnsi="宋体" w:eastAsia="宋体" w:cs="宋体"/>
                <w:b w:val="0"/>
                <w:bCs/>
                <w:i w:val="0"/>
                <w:color w:val="000000"/>
                <w:sz w:val="21"/>
                <w:szCs w:val="21"/>
              </w:rPr>
              <w:t>70%） □低（＜30%）</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成功率：□高（独立/辅助完成＞80%） □中（50%</w:t>
            </w:r>
            <w:r>
              <w:rPr>
                <w:rFonts w:hint="eastAsia" w:ascii="宋体" w:hAnsi="宋体" w:eastAsia="宋体" w:cs="宋体"/>
                <w:b w:val="0"/>
                <w:bCs/>
                <w:i w:val="0"/>
                <w:color w:val="000000"/>
                <w:sz w:val="21"/>
                <w:szCs w:val="21"/>
                <w:lang w:eastAsia="zh-CN"/>
              </w:rPr>
              <w:t>～</w:t>
            </w:r>
            <w:r>
              <w:rPr>
                <w:rFonts w:hint="eastAsia" w:ascii="宋体" w:hAnsi="宋体" w:eastAsia="宋体" w:cs="宋体"/>
                <w:b w:val="0"/>
                <w:bCs/>
                <w:i w:val="0"/>
                <w:color w:val="000000"/>
                <w:sz w:val="21"/>
                <w:szCs w:val="21"/>
              </w:rPr>
              <w:t>80%） □低（＜50%）</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情绪反应：□愉悦 □平静 □焦虑 □抗拒 □困惑 □其他：____</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辅助需求：□无需辅助 □语言提示 □手势引导 □肢体协助 □完全辅助</w:t>
            </w:r>
          </w:p>
        </w:tc>
      </w:tr>
      <w:tr w14:paraId="0DD0E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20" w:type="dxa"/>
          </w:tcPr>
          <w:p w14:paraId="7662015E">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适配建议</w:t>
            </w:r>
          </w:p>
        </w:tc>
        <w:tc>
          <w:tcPr>
            <w:tcW w:w="4320" w:type="dxa"/>
          </w:tcPr>
          <w:p w14:paraId="5A18CA75">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推荐适配等级：□A级 □B级 □C级 □D级</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优先适配等级：________</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可选适配等级：________</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禁用等级：________</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使用时长建议：____分钟/次，____次/日</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辅助需求：□独立操作 □辅助性操作 □完全辅助操作</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其他建议：________________</w:t>
            </w:r>
          </w:p>
        </w:tc>
      </w:tr>
      <w:tr w14:paraId="550B3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20" w:type="dxa"/>
          </w:tcPr>
          <w:p w14:paraId="047DACDC">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评估结论</w:t>
            </w:r>
          </w:p>
        </w:tc>
        <w:tc>
          <w:tcPr>
            <w:tcW w:w="4320" w:type="dxa"/>
          </w:tcPr>
          <w:p w14:paraId="1A6FC22A">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□适配——可直接按推荐方案使用</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□调整后适配——需调整参数/等级后使用，调整内容：________</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□不适配——当前产品不适合该使用者</w:t>
            </w:r>
            <w:r>
              <w:rPr>
                <w:rFonts w:hint="eastAsia" w:ascii="宋体" w:hAnsi="宋体" w:eastAsia="宋体" w:cs="宋体"/>
                <w:b w:val="0"/>
                <w:bCs/>
                <w:color w:val="000000"/>
                <w:sz w:val="21"/>
                <w:szCs w:val="21"/>
              </w:rPr>
              <w:br w:type="textWrapping"/>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评估人员签名：________</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日期：________</w:t>
            </w:r>
            <w:r>
              <w:rPr>
                <w:rFonts w:hint="eastAsia" w:ascii="宋体" w:hAnsi="宋体" w:eastAsia="宋体" w:cs="宋体"/>
                <w:b w:val="0"/>
                <w:bCs/>
                <w:color w:val="000000"/>
                <w:sz w:val="21"/>
                <w:szCs w:val="21"/>
              </w:rPr>
              <w:br w:type="textWrapping"/>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复评计划： □1个月  □</w:t>
            </w:r>
            <w:r>
              <w:rPr>
                <w:rFonts w:hint="eastAsia" w:ascii="宋体" w:hAnsi="宋体" w:eastAsia="宋体" w:cs="宋体"/>
                <w:b w:val="0"/>
                <w:bCs/>
                <w:i w:val="0"/>
                <w:color w:val="000000"/>
                <w:sz w:val="21"/>
                <w:szCs w:val="21"/>
                <w:lang w:val="en-US" w:eastAsia="zh-CN"/>
              </w:rPr>
              <w:t>2</w:t>
            </w:r>
            <w:r>
              <w:rPr>
                <w:rFonts w:hint="eastAsia" w:ascii="宋体" w:hAnsi="宋体" w:eastAsia="宋体" w:cs="宋体"/>
                <w:b w:val="0"/>
                <w:bCs/>
                <w:i w:val="0"/>
                <w:color w:val="000000"/>
                <w:sz w:val="21"/>
                <w:szCs w:val="21"/>
              </w:rPr>
              <w:t>个月 □</w:t>
            </w:r>
            <w:r>
              <w:rPr>
                <w:rFonts w:hint="eastAsia" w:ascii="宋体" w:hAnsi="宋体" w:eastAsia="宋体" w:cs="宋体"/>
                <w:b w:val="0"/>
                <w:bCs/>
                <w:i w:val="0"/>
                <w:color w:val="000000"/>
                <w:sz w:val="21"/>
                <w:szCs w:val="21"/>
                <w:lang w:val="en-US" w:eastAsia="zh-CN"/>
              </w:rPr>
              <w:t>3</w:t>
            </w:r>
            <w:r>
              <w:rPr>
                <w:rFonts w:hint="eastAsia" w:ascii="宋体" w:hAnsi="宋体" w:eastAsia="宋体" w:cs="宋体"/>
                <w:b w:val="0"/>
                <w:bCs/>
                <w:i w:val="0"/>
                <w:color w:val="000000"/>
                <w:sz w:val="21"/>
                <w:szCs w:val="21"/>
              </w:rPr>
              <w:t>个月</w:t>
            </w:r>
          </w:p>
        </w:tc>
      </w:tr>
    </w:tbl>
    <w:p w14:paraId="619F564D">
      <w:pPr>
        <w:spacing w:line="360" w:lineRule="auto"/>
        <w:ind w:firstLine="420"/>
        <w:rPr>
          <w:rFonts w:ascii="黑体" w:hAnsi="黑体" w:eastAsia="黑体"/>
          <w:b/>
          <w:i w:val="0"/>
          <w:sz w:val="21"/>
          <w:szCs w:val="21"/>
        </w:rPr>
      </w:pPr>
      <w:r>
        <w:rPr>
          <w:rFonts w:ascii="Times New Roman" w:hAnsi="Times New Roman" w:eastAsia="宋体"/>
          <w:b w:val="0"/>
          <w:bCs/>
          <w:i w:val="0"/>
          <w:color w:val="000000"/>
          <w:sz w:val="24"/>
          <w:szCs w:val="24"/>
        </w:rPr>
        <w:br w:type="page"/>
      </w:r>
    </w:p>
    <w:p w14:paraId="54959535">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bookmarkStart w:id="57" w:name="_Toc3505"/>
      <w:bookmarkStart w:id="58" w:name="_Toc25153"/>
      <w:r>
        <w:rPr>
          <w:rFonts w:hint="eastAsia"/>
          <w:lang w:val="en-US" w:eastAsia="zh-CN"/>
        </w:rPr>
        <w:t>附  录 B</w:t>
      </w:r>
      <w:bookmarkEnd w:id="57"/>
      <w:bookmarkEnd w:id="58"/>
    </w:p>
    <w:p w14:paraId="343A0B44">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（资料性）</w:t>
      </w:r>
    </w:p>
    <w:p w14:paraId="4422C651">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8项痴呆评定问卷（AD-8）</w:t>
      </w:r>
    </w:p>
    <w:p w14:paraId="5AE69BBF">
      <w:pPr>
        <w:pStyle w:val="24"/>
        <w:pBdr>
          <w:top w:val="none" w:color="auto" w:sz="0" w:space="0"/>
          <w:left w:val="none" w:color="auto" w:sz="0" w:space="0"/>
          <w:bottom w:val="none" w:color="auto" w:sz="0" w:space="0"/>
          <w:right w:val="none" w:color="auto" w:sz="0" w:space="0"/>
        </w:pBdr>
        <w:rPr>
          <w:rFonts w:hint="eastAsia"/>
        </w:rPr>
      </w:pPr>
      <w:r>
        <w:t>8项痴呆评定问卷（Ascertain Dementia 8, AD</w:t>
      </w:r>
      <w:r>
        <w:rPr>
          <w:rFonts w:hint="eastAsia"/>
          <w:lang w:val="en-US" w:eastAsia="zh-CN"/>
        </w:rPr>
        <w:t>-</w:t>
      </w:r>
      <w:r>
        <w:t>8）用于认知障碍的快速初筛，由知情者（家属或照护者）根据</w:t>
      </w:r>
      <w:r>
        <w:rPr>
          <w:rFonts w:hint="eastAsia"/>
          <w:lang w:val="en-US" w:eastAsia="zh-CN"/>
        </w:rPr>
        <w:t>认知障碍</w:t>
      </w:r>
      <w:r>
        <w:rPr>
          <w:rFonts w:hint="eastAsia"/>
        </w:rPr>
        <w:t>者近年来有无相应改变逐条回答，共8个项目，总分8分。</w:t>
      </w:r>
    </w:p>
    <w:p w14:paraId="2881B12C">
      <w:pPr>
        <w:jc w:val="center"/>
        <w:rPr>
          <w:rFonts w:hint="eastAsia" w:ascii="宋体" w:hAnsi="宋体" w:eastAsia="宋体" w:cs="宋体"/>
          <w:sz w:val="21"/>
          <w:szCs w:val="21"/>
        </w:rPr>
      </w:pPr>
      <w:r>
        <w:rPr>
          <w:rFonts w:hint="eastAsia" w:ascii="宋体" w:hAnsi="宋体" w:eastAsia="宋体" w:cs="宋体"/>
          <w:b w:val="0"/>
          <w:bCs w:val="0"/>
          <w:color w:val="000000"/>
          <w:sz w:val="21"/>
          <w:szCs w:val="21"/>
        </w:rPr>
        <w:t>表B.1  AD-8评定项目及评分标准</w:t>
      </w: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80"/>
        <w:gridCol w:w="2880"/>
        <w:gridCol w:w="2880"/>
      </w:tblGrid>
      <w:tr w14:paraId="2A044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68059BD3">
            <w:pPr>
              <w:jc w:val="center"/>
              <w:rPr>
                <w:rFonts w:hint="eastAsia" w:ascii="宋体" w:hAnsi="宋体" w:eastAsia="宋体" w:cs="宋体"/>
                <w:sz w:val="21"/>
                <w:szCs w:val="21"/>
              </w:rPr>
            </w:pPr>
            <w:r>
              <w:rPr>
                <w:rFonts w:hint="eastAsia" w:ascii="宋体" w:hAnsi="宋体" w:eastAsia="宋体" w:cs="宋体"/>
                <w:color w:val="000000"/>
                <w:sz w:val="21"/>
                <w:szCs w:val="21"/>
              </w:rPr>
              <w:t>评估项目</w:t>
            </w:r>
          </w:p>
        </w:tc>
        <w:tc>
          <w:tcPr>
            <w:tcW w:w="2880" w:type="dxa"/>
          </w:tcPr>
          <w:p w14:paraId="22131C6D">
            <w:pPr>
              <w:jc w:val="center"/>
              <w:rPr>
                <w:rFonts w:hint="eastAsia" w:ascii="宋体" w:hAnsi="宋体" w:eastAsia="宋体" w:cs="宋体"/>
                <w:sz w:val="21"/>
                <w:szCs w:val="21"/>
              </w:rPr>
            </w:pPr>
            <w:r>
              <w:rPr>
                <w:rFonts w:hint="eastAsia" w:ascii="宋体" w:hAnsi="宋体" w:eastAsia="宋体" w:cs="宋体"/>
                <w:color w:val="000000"/>
                <w:sz w:val="21"/>
                <w:szCs w:val="21"/>
              </w:rPr>
              <w:t>评分标准</w:t>
            </w:r>
          </w:p>
        </w:tc>
        <w:tc>
          <w:tcPr>
            <w:tcW w:w="2880" w:type="dxa"/>
          </w:tcPr>
          <w:p w14:paraId="71BCBF40">
            <w:pPr>
              <w:jc w:val="center"/>
              <w:rPr>
                <w:rFonts w:hint="eastAsia" w:ascii="宋体" w:hAnsi="宋体" w:eastAsia="宋体" w:cs="宋体"/>
                <w:sz w:val="21"/>
                <w:szCs w:val="21"/>
              </w:rPr>
            </w:pPr>
            <w:r>
              <w:rPr>
                <w:rFonts w:hint="eastAsia" w:ascii="宋体" w:hAnsi="宋体" w:eastAsia="宋体" w:cs="宋体"/>
                <w:color w:val="000000"/>
                <w:sz w:val="21"/>
                <w:szCs w:val="21"/>
              </w:rPr>
              <w:t>得分</w:t>
            </w:r>
          </w:p>
        </w:tc>
      </w:tr>
      <w:tr w14:paraId="094B2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2340E6D9">
            <w:pPr>
              <w:rPr>
                <w:rFonts w:hint="eastAsia" w:ascii="宋体" w:hAnsi="宋体" w:eastAsia="宋体" w:cs="宋体"/>
                <w:sz w:val="21"/>
                <w:szCs w:val="21"/>
              </w:rPr>
            </w:pPr>
            <w:r>
              <w:rPr>
                <w:rFonts w:hint="eastAsia" w:ascii="宋体" w:hAnsi="宋体" w:eastAsia="宋体" w:cs="宋体"/>
                <w:color w:val="000000"/>
                <w:sz w:val="21"/>
                <w:szCs w:val="21"/>
              </w:rPr>
              <w:t>判断力出现问题（如做决定困难、错误的投资、思考障碍等）</w:t>
            </w:r>
          </w:p>
        </w:tc>
        <w:tc>
          <w:tcPr>
            <w:tcW w:w="2880" w:type="dxa"/>
          </w:tcPr>
          <w:p w14:paraId="23E343CA">
            <w:pPr>
              <w:rPr>
                <w:rFonts w:hint="eastAsia" w:ascii="宋体" w:hAnsi="宋体" w:eastAsia="宋体" w:cs="宋体"/>
                <w:sz w:val="21"/>
                <w:szCs w:val="21"/>
              </w:rPr>
            </w:pPr>
            <w:r>
              <w:rPr>
                <w:rFonts w:hint="eastAsia" w:ascii="宋体" w:hAnsi="宋体" w:eastAsia="宋体" w:cs="宋体"/>
                <w:color w:val="000000"/>
                <w:sz w:val="21"/>
                <w:szCs w:val="21"/>
              </w:rPr>
              <w:t>是=1分，否=0分</w:t>
            </w:r>
          </w:p>
        </w:tc>
        <w:tc>
          <w:tcPr>
            <w:tcW w:w="2880" w:type="dxa"/>
          </w:tcPr>
          <w:p w14:paraId="4F54611E">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7A110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4BAB0483">
            <w:pPr>
              <w:rPr>
                <w:rFonts w:hint="eastAsia" w:ascii="宋体" w:hAnsi="宋体" w:eastAsia="宋体" w:cs="宋体"/>
                <w:sz w:val="21"/>
                <w:szCs w:val="21"/>
              </w:rPr>
            </w:pPr>
            <w:r>
              <w:rPr>
                <w:rFonts w:hint="eastAsia" w:ascii="宋体" w:hAnsi="宋体" w:eastAsia="宋体" w:cs="宋体"/>
                <w:color w:val="000000"/>
                <w:sz w:val="21"/>
                <w:szCs w:val="21"/>
              </w:rPr>
              <w:t>兴趣减退、爱好改变、活动减少</w:t>
            </w:r>
          </w:p>
        </w:tc>
        <w:tc>
          <w:tcPr>
            <w:tcW w:w="2880" w:type="dxa"/>
          </w:tcPr>
          <w:p w14:paraId="7FB5E92B">
            <w:pPr>
              <w:rPr>
                <w:rFonts w:hint="eastAsia" w:ascii="宋体" w:hAnsi="宋体" w:eastAsia="宋体" w:cs="宋体"/>
                <w:sz w:val="21"/>
                <w:szCs w:val="21"/>
              </w:rPr>
            </w:pPr>
            <w:r>
              <w:rPr>
                <w:rFonts w:hint="eastAsia" w:ascii="宋体" w:hAnsi="宋体" w:eastAsia="宋体" w:cs="宋体"/>
                <w:color w:val="000000"/>
                <w:sz w:val="21"/>
                <w:szCs w:val="21"/>
              </w:rPr>
              <w:t>是=1分，否=0分</w:t>
            </w:r>
          </w:p>
        </w:tc>
        <w:tc>
          <w:tcPr>
            <w:tcW w:w="2880" w:type="dxa"/>
          </w:tcPr>
          <w:p w14:paraId="325E75F4">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537B0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5D2F5CA">
            <w:pPr>
              <w:rPr>
                <w:rFonts w:hint="eastAsia" w:ascii="宋体" w:hAnsi="宋体" w:eastAsia="宋体" w:cs="宋体"/>
                <w:sz w:val="21"/>
                <w:szCs w:val="21"/>
              </w:rPr>
            </w:pPr>
            <w:r>
              <w:rPr>
                <w:rFonts w:hint="eastAsia" w:ascii="宋体" w:hAnsi="宋体" w:eastAsia="宋体" w:cs="宋体"/>
                <w:color w:val="000000"/>
                <w:sz w:val="21"/>
                <w:szCs w:val="21"/>
              </w:rPr>
              <w:t>不断重复同一件事（如总是问相同的问题、重复讲同一个故事）</w:t>
            </w:r>
          </w:p>
        </w:tc>
        <w:tc>
          <w:tcPr>
            <w:tcW w:w="2880" w:type="dxa"/>
          </w:tcPr>
          <w:p w14:paraId="2792DBB4">
            <w:pPr>
              <w:rPr>
                <w:rFonts w:hint="eastAsia" w:ascii="宋体" w:hAnsi="宋体" w:eastAsia="宋体" w:cs="宋体"/>
                <w:sz w:val="21"/>
                <w:szCs w:val="21"/>
              </w:rPr>
            </w:pPr>
            <w:r>
              <w:rPr>
                <w:rFonts w:hint="eastAsia" w:ascii="宋体" w:hAnsi="宋体" w:eastAsia="宋体" w:cs="宋体"/>
                <w:color w:val="000000"/>
                <w:sz w:val="21"/>
                <w:szCs w:val="21"/>
              </w:rPr>
              <w:t>是=1分，否=0分</w:t>
            </w:r>
          </w:p>
        </w:tc>
        <w:tc>
          <w:tcPr>
            <w:tcW w:w="2880" w:type="dxa"/>
          </w:tcPr>
          <w:p w14:paraId="1216B748">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5D8AF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9657085">
            <w:pPr>
              <w:rPr>
                <w:rFonts w:hint="eastAsia" w:ascii="宋体" w:hAnsi="宋体" w:eastAsia="宋体" w:cs="宋体"/>
                <w:sz w:val="21"/>
                <w:szCs w:val="21"/>
              </w:rPr>
            </w:pPr>
            <w:r>
              <w:rPr>
                <w:rFonts w:hint="eastAsia" w:ascii="宋体" w:hAnsi="宋体" w:eastAsia="宋体" w:cs="宋体"/>
                <w:color w:val="000000"/>
                <w:sz w:val="21"/>
                <w:szCs w:val="21"/>
              </w:rPr>
              <w:t>学习使用新工具、电器或小器具（如遥控器、微波炉）有困难</w:t>
            </w:r>
          </w:p>
        </w:tc>
        <w:tc>
          <w:tcPr>
            <w:tcW w:w="2880" w:type="dxa"/>
          </w:tcPr>
          <w:p w14:paraId="2ACE8A90">
            <w:pPr>
              <w:rPr>
                <w:rFonts w:hint="eastAsia" w:ascii="宋体" w:hAnsi="宋体" w:eastAsia="宋体" w:cs="宋体"/>
                <w:sz w:val="21"/>
                <w:szCs w:val="21"/>
              </w:rPr>
            </w:pPr>
            <w:r>
              <w:rPr>
                <w:rFonts w:hint="eastAsia" w:ascii="宋体" w:hAnsi="宋体" w:eastAsia="宋体" w:cs="宋体"/>
                <w:color w:val="000000"/>
                <w:sz w:val="21"/>
                <w:szCs w:val="21"/>
              </w:rPr>
              <w:t>是=1分，否=0分</w:t>
            </w:r>
          </w:p>
        </w:tc>
        <w:tc>
          <w:tcPr>
            <w:tcW w:w="2880" w:type="dxa"/>
          </w:tcPr>
          <w:p w14:paraId="264EC373">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02873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1A4E0F8">
            <w:pPr>
              <w:rPr>
                <w:rFonts w:hint="eastAsia" w:ascii="宋体" w:hAnsi="宋体" w:eastAsia="宋体" w:cs="宋体"/>
                <w:sz w:val="21"/>
                <w:szCs w:val="21"/>
              </w:rPr>
            </w:pPr>
            <w:r>
              <w:rPr>
                <w:rFonts w:hint="eastAsia" w:ascii="宋体" w:hAnsi="宋体" w:eastAsia="宋体" w:cs="宋体"/>
                <w:color w:val="000000"/>
                <w:sz w:val="21"/>
                <w:szCs w:val="21"/>
              </w:rPr>
              <w:t>记不清当前的月份和年份</w:t>
            </w:r>
          </w:p>
        </w:tc>
        <w:tc>
          <w:tcPr>
            <w:tcW w:w="2880" w:type="dxa"/>
          </w:tcPr>
          <w:p w14:paraId="6D10B751">
            <w:pPr>
              <w:rPr>
                <w:rFonts w:hint="eastAsia" w:ascii="宋体" w:hAnsi="宋体" w:eastAsia="宋体" w:cs="宋体"/>
                <w:sz w:val="21"/>
                <w:szCs w:val="21"/>
              </w:rPr>
            </w:pPr>
            <w:r>
              <w:rPr>
                <w:rFonts w:hint="eastAsia" w:ascii="宋体" w:hAnsi="宋体" w:eastAsia="宋体" w:cs="宋体"/>
                <w:color w:val="000000"/>
                <w:sz w:val="21"/>
                <w:szCs w:val="21"/>
              </w:rPr>
              <w:t>是=1分，否=0分</w:t>
            </w:r>
          </w:p>
        </w:tc>
        <w:tc>
          <w:tcPr>
            <w:tcW w:w="2880" w:type="dxa"/>
          </w:tcPr>
          <w:p w14:paraId="5AEA7084">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1E01A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4518790A">
            <w:pPr>
              <w:rPr>
                <w:rFonts w:hint="eastAsia" w:ascii="宋体" w:hAnsi="宋体" w:eastAsia="宋体" w:cs="宋体"/>
                <w:sz w:val="21"/>
                <w:szCs w:val="21"/>
              </w:rPr>
            </w:pPr>
            <w:r>
              <w:rPr>
                <w:rFonts w:hint="eastAsia" w:ascii="宋体" w:hAnsi="宋体" w:eastAsia="宋体" w:cs="宋体"/>
                <w:color w:val="000000"/>
                <w:sz w:val="21"/>
                <w:szCs w:val="21"/>
              </w:rPr>
              <w:t>处理复杂的个人财务问题有困难（如平衡收支、存取款、缴费等）</w:t>
            </w:r>
          </w:p>
        </w:tc>
        <w:tc>
          <w:tcPr>
            <w:tcW w:w="2880" w:type="dxa"/>
          </w:tcPr>
          <w:p w14:paraId="75814E11">
            <w:pPr>
              <w:rPr>
                <w:rFonts w:hint="eastAsia" w:ascii="宋体" w:hAnsi="宋体" w:eastAsia="宋体" w:cs="宋体"/>
                <w:sz w:val="21"/>
                <w:szCs w:val="21"/>
              </w:rPr>
            </w:pPr>
            <w:r>
              <w:rPr>
                <w:rFonts w:hint="eastAsia" w:ascii="宋体" w:hAnsi="宋体" w:eastAsia="宋体" w:cs="宋体"/>
                <w:color w:val="000000"/>
                <w:sz w:val="21"/>
                <w:szCs w:val="21"/>
              </w:rPr>
              <w:t>是=1分，否=0分</w:t>
            </w:r>
          </w:p>
        </w:tc>
        <w:tc>
          <w:tcPr>
            <w:tcW w:w="2880" w:type="dxa"/>
          </w:tcPr>
          <w:p w14:paraId="457EC7FB">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50BE6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111F6A53">
            <w:pPr>
              <w:rPr>
                <w:rFonts w:hint="eastAsia" w:ascii="宋体" w:hAnsi="宋体" w:eastAsia="宋体" w:cs="宋体"/>
                <w:sz w:val="21"/>
                <w:szCs w:val="21"/>
              </w:rPr>
            </w:pPr>
            <w:r>
              <w:rPr>
                <w:rFonts w:hint="eastAsia" w:ascii="宋体" w:hAnsi="宋体" w:eastAsia="宋体" w:cs="宋体"/>
                <w:color w:val="000000"/>
                <w:sz w:val="21"/>
                <w:szCs w:val="21"/>
              </w:rPr>
              <w:t>记不住与他人的约会</w:t>
            </w:r>
          </w:p>
        </w:tc>
        <w:tc>
          <w:tcPr>
            <w:tcW w:w="2880" w:type="dxa"/>
          </w:tcPr>
          <w:p w14:paraId="7670D868">
            <w:pPr>
              <w:rPr>
                <w:rFonts w:hint="eastAsia" w:ascii="宋体" w:hAnsi="宋体" w:eastAsia="宋体" w:cs="宋体"/>
                <w:sz w:val="21"/>
                <w:szCs w:val="21"/>
              </w:rPr>
            </w:pPr>
            <w:r>
              <w:rPr>
                <w:rFonts w:hint="eastAsia" w:ascii="宋体" w:hAnsi="宋体" w:eastAsia="宋体" w:cs="宋体"/>
                <w:color w:val="000000"/>
                <w:sz w:val="21"/>
                <w:szCs w:val="21"/>
              </w:rPr>
              <w:t>是=1分，否=0分</w:t>
            </w:r>
          </w:p>
        </w:tc>
        <w:tc>
          <w:tcPr>
            <w:tcW w:w="2880" w:type="dxa"/>
          </w:tcPr>
          <w:p w14:paraId="05D32C5C">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7E369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08BC86A3">
            <w:pPr>
              <w:rPr>
                <w:rFonts w:hint="eastAsia" w:ascii="宋体" w:hAnsi="宋体" w:eastAsia="宋体" w:cs="宋体"/>
                <w:sz w:val="21"/>
                <w:szCs w:val="21"/>
              </w:rPr>
            </w:pPr>
            <w:r>
              <w:rPr>
                <w:rFonts w:hint="eastAsia" w:ascii="宋体" w:hAnsi="宋体" w:eastAsia="宋体" w:cs="宋体"/>
                <w:color w:val="000000"/>
                <w:sz w:val="21"/>
                <w:szCs w:val="21"/>
              </w:rPr>
              <w:t>日常生活中有持续的思考和记忆方面的问题</w:t>
            </w:r>
          </w:p>
        </w:tc>
        <w:tc>
          <w:tcPr>
            <w:tcW w:w="2880" w:type="dxa"/>
          </w:tcPr>
          <w:p w14:paraId="26FAC0E4">
            <w:pPr>
              <w:rPr>
                <w:rFonts w:hint="eastAsia" w:ascii="宋体" w:hAnsi="宋体" w:eastAsia="宋体" w:cs="宋体"/>
                <w:sz w:val="21"/>
                <w:szCs w:val="21"/>
              </w:rPr>
            </w:pPr>
            <w:r>
              <w:rPr>
                <w:rFonts w:hint="eastAsia" w:ascii="宋体" w:hAnsi="宋体" w:eastAsia="宋体" w:cs="宋体"/>
                <w:color w:val="000000"/>
                <w:sz w:val="21"/>
                <w:szCs w:val="21"/>
              </w:rPr>
              <w:t>是=1分，否=0分</w:t>
            </w:r>
          </w:p>
        </w:tc>
        <w:tc>
          <w:tcPr>
            <w:tcW w:w="2880" w:type="dxa"/>
          </w:tcPr>
          <w:p w14:paraId="4B0A0908">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7B281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272B02A">
            <w:pPr>
              <w:rPr>
                <w:rFonts w:hint="eastAsia" w:ascii="宋体" w:hAnsi="宋体" w:eastAsia="宋体" w:cs="宋体"/>
                <w:sz w:val="21"/>
                <w:szCs w:val="21"/>
              </w:rPr>
            </w:pPr>
            <w:r>
              <w:rPr>
                <w:rFonts w:hint="eastAsia" w:ascii="宋体" w:hAnsi="宋体" w:eastAsia="宋体" w:cs="宋体"/>
                <w:color w:val="000000"/>
                <w:sz w:val="21"/>
                <w:szCs w:val="21"/>
              </w:rPr>
              <w:t>总分（0分～8分）</w:t>
            </w:r>
          </w:p>
        </w:tc>
        <w:tc>
          <w:tcPr>
            <w:tcW w:w="2880" w:type="dxa"/>
          </w:tcPr>
          <w:p w14:paraId="37857C02">
            <w:pPr>
              <w:rPr>
                <w:rFonts w:hint="eastAsia" w:ascii="宋体" w:hAnsi="宋体" w:eastAsia="宋体" w:cs="宋体"/>
                <w:sz w:val="21"/>
                <w:szCs w:val="21"/>
              </w:rPr>
            </w:pPr>
            <w:r>
              <w:rPr>
                <w:rFonts w:hint="eastAsia" w:ascii="宋体" w:hAnsi="宋体" w:eastAsia="宋体" w:cs="宋体"/>
                <w:color w:val="000000"/>
                <w:sz w:val="21"/>
                <w:szCs w:val="21"/>
              </w:rPr>
              <w:t>____分</w:t>
            </w:r>
          </w:p>
        </w:tc>
        <w:tc>
          <w:tcPr>
            <w:tcW w:w="2880" w:type="dxa"/>
          </w:tcPr>
          <w:p w14:paraId="2703D7E9">
            <w:pPr>
              <w:rPr>
                <w:rFonts w:hint="eastAsia" w:ascii="宋体" w:hAnsi="宋体" w:eastAsia="宋体" w:cs="宋体"/>
                <w:sz w:val="21"/>
                <w:szCs w:val="21"/>
              </w:rPr>
            </w:pPr>
            <w:r>
              <w:rPr>
                <w:rFonts w:hint="eastAsia" w:ascii="宋体" w:hAnsi="宋体" w:eastAsia="宋体" w:cs="宋体"/>
                <w:color w:val="000000"/>
                <w:sz w:val="21"/>
                <w:szCs w:val="21"/>
              </w:rPr>
              <w:t>____</w:t>
            </w:r>
          </w:p>
        </w:tc>
      </w:tr>
    </w:tbl>
    <w:p w14:paraId="36DB8928">
      <w:pPr>
        <w:pStyle w:val="24"/>
        <w:pBdr>
          <w:top w:val="none" w:color="auto" w:sz="0" w:space="0"/>
          <w:left w:val="none" w:color="auto" w:sz="0" w:space="0"/>
          <w:bottom w:val="none" w:color="auto" w:sz="0" w:space="0"/>
          <w:right w:val="none" w:color="auto" w:sz="0" w:space="0"/>
        </w:pBdr>
        <w:rPr>
          <w:rFonts w:hint="eastAsia"/>
        </w:rPr>
      </w:pPr>
      <w:r>
        <w:rPr>
          <w:rFonts w:hint="eastAsia"/>
        </w:rPr>
        <w:t>评分说明：</w:t>
      </w:r>
    </w:p>
    <w:p w14:paraId="7BAA7B35">
      <w:pPr>
        <w:pStyle w:val="24"/>
        <w:pBdr>
          <w:top w:val="none" w:color="auto" w:sz="0" w:space="0"/>
          <w:left w:val="none" w:color="auto" w:sz="0" w:space="0"/>
          <w:bottom w:val="none" w:color="auto" w:sz="0" w:space="0"/>
          <w:right w:val="none" w:color="auto" w:sz="0" w:space="0"/>
        </w:pBdr>
        <w:rPr>
          <w:rFonts w:hint="eastAsia"/>
        </w:rPr>
      </w:pPr>
      <w:r>
        <w:rPr>
          <w:rFonts w:hint="eastAsia"/>
          <w:lang w:eastAsia="zh-CN"/>
        </w:rPr>
        <w:t>a）</w:t>
      </w:r>
      <w:r>
        <w:rPr>
          <w:rFonts w:hint="eastAsia"/>
        </w:rPr>
        <w:t>由了解</w:t>
      </w:r>
      <w:r>
        <w:rPr>
          <w:rFonts w:hint="eastAsia"/>
          <w:lang w:val="en-US" w:eastAsia="zh-CN"/>
        </w:rPr>
        <w:t>认知障碍者</w:t>
      </w:r>
      <w:r>
        <w:rPr>
          <w:rFonts w:hint="eastAsia"/>
        </w:rPr>
        <w:t>情况的家属或照护者回答，以近数年的变化为依据，而非</w:t>
      </w:r>
      <w:r>
        <w:rPr>
          <w:rFonts w:hint="eastAsia"/>
          <w:lang w:val="en-US" w:eastAsia="zh-CN"/>
        </w:rPr>
        <w:t>认知障碍者</w:t>
      </w:r>
      <w:r>
        <w:rPr>
          <w:rFonts w:hint="eastAsia"/>
        </w:rPr>
        <w:t>当下的主观感受；</w:t>
      </w:r>
    </w:p>
    <w:p w14:paraId="19EAB9F8">
      <w:pPr>
        <w:pStyle w:val="24"/>
        <w:pBdr>
          <w:top w:val="none" w:color="auto" w:sz="0" w:space="0"/>
          <w:left w:val="none" w:color="auto" w:sz="0" w:space="0"/>
          <w:bottom w:val="none" w:color="auto" w:sz="0" w:space="0"/>
          <w:right w:val="none" w:color="auto" w:sz="0" w:space="0"/>
        </w:pBdr>
        <w:rPr>
          <w:rFonts w:hint="eastAsia"/>
        </w:rPr>
      </w:pPr>
      <w:r>
        <w:rPr>
          <w:rFonts w:hint="eastAsia"/>
          <w:lang w:eastAsia="zh-CN"/>
        </w:rPr>
        <w:t>b）总分≥2分提示可能存在认知功能异常，宜进一步采用MoCA等量表评估；</w:t>
      </w:r>
    </w:p>
    <w:p w14:paraId="60DE51D9">
      <w:pPr>
        <w:pStyle w:val="24"/>
        <w:pBdr>
          <w:top w:val="none" w:color="auto" w:sz="0" w:space="0"/>
          <w:left w:val="none" w:color="auto" w:sz="0" w:space="0"/>
          <w:bottom w:val="none" w:color="auto" w:sz="0" w:space="0"/>
          <w:right w:val="none" w:color="auto" w:sz="0" w:space="0"/>
        </w:pBdr>
        <w:rPr>
          <w:rFonts w:hint="eastAsia"/>
        </w:rPr>
      </w:pPr>
      <w:r>
        <w:rPr>
          <w:rFonts w:hint="eastAsia"/>
          <w:lang w:eastAsia="zh-CN"/>
        </w:rPr>
        <w:t>c）</w:t>
      </w:r>
      <w:r>
        <w:rPr>
          <w:rFonts w:hint="eastAsia"/>
        </w:rPr>
        <w:t>AD</w:t>
      </w:r>
      <w:r>
        <w:rPr>
          <w:rFonts w:hint="eastAsia"/>
          <w:lang w:eastAsia="zh-CN"/>
        </w:rPr>
        <w:t>～</w:t>
      </w:r>
      <w:r>
        <w:rPr>
          <w:rFonts w:hint="eastAsia"/>
        </w:rPr>
        <w:t>8仅为筛查工具，其结果不能替代临床诊断。</w:t>
      </w:r>
    </w:p>
    <w:p w14:paraId="13F40E2D">
      <w:pPr>
        <w:spacing w:line="360" w:lineRule="auto"/>
        <w:ind w:firstLine="420"/>
        <w:rPr>
          <w:rFonts w:hint="eastAsia" w:ascii="宋体" w:hAnsi="宋体" w:eastAsia="宋体" w:cs="宋体"/>
          <w:b w:val="0"/>
          <w:i w:val="0"/>
          <w:sz w:val="21"/>
          <w:szCs w:val="21"/>
        </w:rPr>
      </w:pPr>
      <w:r>
        <w:rPr>
          <w:rFonts w:hint="eastAsia" w:ascii="宋体" w:hAnsi="宋体" w:eastAsia="宋体" w:cs="宋体"/>
          <w:b w:val="0"/>
          <w:i w:val="0"/>
          <w:color w:val="000000"/>
          <w:sz w:val="21"/>
          <w:szCs w:val="21"/>
        </w:rPr>
        <w:br w:type="page"/>
      </w:r>
    </w:p>
    <w:p w14:paraId="7A570196">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bookmarkStart w:id="59" w:name="_Toc5602"/>
      <w:bookmarkStart w:id="60" w:name="_Toc8176"/>
      <w:r>
        <w:rPr>
          <w:rFonts w:hint="eastAsia"/>
          <w:lang w:val="en-US" w:eastAsia="zh-CN"/>
        </w:rPr>
        <w:t>附  录 C</w:t>
      </w:r>
      <w:bookmarkEnd w:id="59"/>
      <w:bookmarkEnd w:id="60"/>
    </w:p>
    <w:p w14:paraId="6BD5ECD3">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（资料性）</w:t>
      </w:r>
    </w:p>
    <w:p w14:paraId="1756916F">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蒙特利尔认知评估量表（MoCA）</w:t>
      </w:r>
    </w:p>
    <w:p w14:paraId="0AD5478B">
      <w:pPr>
        <w:pStyle w:val="24"/>
        <w:pBdr>
          <w:top w:val="none" w:color="auto" w:sz="0" w:space="0"/>
          <w:left w:val="none" w:color="auto" w:sz="0" w:space="0"/>
          <w:bottom w:val="none" w:color="auto" w:sz="0" w:space="0"/>
          <w:right w:val="none" w:color="auto" w:sz="0" w:space="0"/>
        </w:pBdr>
      </w:pPr>
      <w:r>
        <w:t>蒙特利尔认知评估量表（Montreal Cognitive Assessment, MoCA）用于评估认知功能，涵盖视空间与执行功能、命名、注意、语言、抽象、延迟回忆和定向7个认知域，总分30分。</w:t>
      </w:r>
    </w:p>
    <w:p w14:paraId="4E86174C">
      <w:pPr>
        <w:keepLines w:val="0"/>
        <w:spacing w:before="0" w:after="0" w:line="360" w:lineRule="auto"/>
        <w:ind w:firstLine="420"/>
        <w:jc w:val="left"/>
        <w:rPr>
          <w:rFonts w:hint="eastAsia" w:ascii="宋体" w:hAnsi="宋体" w:eastAsia="宋体"/>
          <w:b w:val="0"/>
          <w:i w:val="0"/>
          <w:sz w:val="21"/>
          <w:szCs w:val="21"/>
          <w:lang w:eastAsia="zh-CN"/>
        </w:rPr>
      </w:pPr>
      <w:r>
        <w:rPr>
          <w:rFonts w:hint="eastAsia" w:ascii="Times New Roman" w:hAnsi="Times New Roman" w:eastAsia="宋体"/>
          <w:b w:val="0"/>
          <w:i w:val="0"/>
          <w:color w:val="000000"/>
          <w:sz w:val="24"/>
          <w:szCs w:val="24"/>
          <w:lang w:eastAsia="zh-CN"/>
        </w:rPr>
        <w:drawing>
          <wp:inline distT="0" distB="0" distL="114300" distR="114300">
            <wp:extent cx="4686935" cy="5801360"/>
            <wp:effectExtent l="0" t="0" r="6985" b="5080"/>
            <wp:docPr id="9" name="图片 9" descr="317ed9c3-85af-423c-b538-4572ea3295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17ed9c3-85af-423c-b538-4572ea3295f0"/>
                    <pic:cNvPicPr>
                      <a:picLocks noChangeAspect="1"/>
                    </pic:cNvPicPr>
                  </pic:nvPicPr>
                  <pic:blipFill>
                    <a:blip r:embed="rId13"/>
                    <a:stretch>
                      <a:fillRect/>
                    </a:stretch>
                  </pic:blipFill>
                  <pic:spPr>
                    <a:xfrm>
                      <a:off x="0" y="0"/>
                      <a:ext cx="4686935" cy="5801360"/>
                    </a:xfrm>
                    <a:prstGeom prst="rect">
                      <a:avLst/>
                    </a:prstGeom>
                  </pic:spPr>
                </pic:pic>
              </a:graphicData>
            </a:graphic>
          </wp:inline>
        </w:drawing>
      </w:r>
    </w:p>
    <w:p w14:paraId="2DDE2926">
      <w:pPr>
        <w:pStyle w:val="24"/>
        <w:pBdr>
          <w:top w:val="none" w:color="auto" w:sz="0" w:space="0"/>
          <w:left w:val="none" w:color="auto" w:sz="0" w:space="0"/>
          <w:bottom w:val="none" w:color="auto" w:sz="0" w:space="0"/>
          <w:right w:val="none" w:color="auto" w:sz="0" w:space="0"/>
        </w:pBdr>
      </w:pPr>
      <w:r>
        <w:t>评分说明：</w:t>
      </w:r>
    </w:p>
    <w:p w14:paraId="45A0D481">
      <w:pPr>
        <w:pStyle w:val="24"/>
        <w:pBdr>
          <w:top w:val="none" w:color="auto" w:sz="0" w:space="0"/>
          <w:left w:val="none" w:color="auto" w:sz="0" w:space="0"/>
          <w:bottom w:val="none" w:color="auto" w:sz="0" w:space="0"/>
          <w:right w:val="none" w:color="auto" w:sz="0" w:space="0"/>
        </w:pBdr>
      </w:pPr>
      <w:r>
        <w:rPr>
          <w:rFonts w:hint="eastAsia"/>
          <w:lang w:eastAsia="zh-CN"/>
        </w:rPr>
        <w:t>a）</w:t>
      </w:r>
      <w:r>
        <w:t>总分越高提示认知功能越好，通常以≥26分（含校正分）为认知功能正常界值；</w:t>
      </w:r>
    </w:p>
    <w:p w14:paraId="0E0A9E30">
      <w:pPr>
        <w:pStyle w:val="24"/>
        <w:pBdr>
          <w:top w:val="none" w:color="auto" w:sz="0" w:space="0"/>
          <w:left w:val="none" w:color="auto" w:sz="0" w:space="0"/>
          <w:bottom w:val="none" w:color="auto" w:sz="0" w:space="0"/>
          <w:right w:val="none" w:color="auto" w:sz="0" w:space="0"/>
        </w:pBdr>
      </w:pPr>
      <w:r>
        <w:rPr>
          <w:rFonts w:hint="eastAsia"/>
          <w:lang w:eastAsia="zh-CN"/>
        </w:rPr>
        <w:t>b）</w:t>
      </w:r>
      <w:r>
        <w:t>受教育年限≤12年者测试结果加1分进行校正，校正后总分不超过30分；</w:t>
      </w:r>
    </w:p>
    <w:p w14:paraId="662C012D">
      <w:pPr>
        <w:pStyle w:val="24"/>
        <w:pBdr>
          <w:top w:val="none" w:color="auto" w:sz="0" w:space="0"/>
          <w:left w:val="none" w:color="auto" w:sz="0" w:space="0"/>
          <w:bottom w:val="none" w:color="auto" w:sz="0" w:space="0"/>
          <w:right w:val="none" w:color="auto" w:sz="0" w:space="0"/>
        </w:pBdr>
      </w:pPr>
      <w:r>
        <w:rPr>
          <w:rFonts w:hint="eastAsia"/>
          <w:lang w:eastAsia="zh-CN"/>
        </w:rPr>
        <w:t>c）评估结果宜结合认知障碍者年龄、受教育程度、文化背景及临床表现综合判定。</w:t>
      </w:r>
    </w:p>
    <w:p w14:paraId="357B570C">
      <w:pPr>
        <w:spacing w:line="360" w:lineRule="auto"/>
        <w:ind w:firstLine="420"/>
        <w:rPr>
          <w:rFonts w:ascii="宋体" w:hAnsi="宋体" w:eastAsia="宋体"/>
          <w:b w:val="0"/>
          <w:i w:val="0"/>
          <w:sz w:val="21"/>
          <w:szCs w:val="21"/>
        </w:rPr>
      </w:pPr>
      <w:r>
        <w:rPr>
          <w:rFonts w:ascii="Times New Roman" w:hAnsi="Times New Roman" w:eastAsia="宋体"/>
          <w:b w:val="0"/>
          <w:i w:val="0"/>
          <w:color w:val="000000"/>
          <w:sz w:val="24"/>
          <w:szCs w:val="24"/>
        </w:rPr>
        <w:br w:type="page"/>
      </w:r>
    </w:p>
    <w:p w14:paraId="54A9BDD5">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bookmarkStart w:id="61" w:name="_Toc18914"/>
      <w:bookmarkStart w:id="62" w:name="_Toc18828"/>
      <w:r>
        <w:rPr>
          <w:rFonts w:hint="eastAsia"/>
          <w:lang w:val="en-US" w:eastAsia="zh-CN"/>
        </w:rPr>
        <w:t>附  录 D</w:t>
      </w:r>
      <w:bookmarkEnd w:id="61"/>
      <w:bookmarkEnd w:id="62"/>
    </w:p>
    <w:p w14:paraId="023A6D23">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（资料性）</w:t>
      </w:r>
    </w:p>
    <w:p w14:paraId="1911C7D4">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临床痴呆评定量表（CDR）</w:t>
      </w:r>
    </w:p>
    <w:p w14:paraId="0D5AC801">
      <w:pPr>
        <w:pStyle w:val="24"/>
        <w:pBdr>
          <w:top w:val="none" w:color="auto" w:sz="0" w:space="0"/>
          <w:left w:val="none" w:color="auto" w:sz="0" w:space="0"/>
          <w:bottom w:val="none" w:color="auto" w:sz="0" w:space="0"/>
          <w:right w:val="none" w:color="auto" w:sz="0" w:space="0"/>
        </w:pBdr>
      </w:pPr>
      <w:r>
        <w:t>临床痴呆评定量表（Clinical Dementia Rating, CDR）用于痴呆严重程度的临床分级，从记忆力、定向力、判断与解决问题能力、社会事务、家庭生活与爱好、个人照料6个方面进行评估。</w:t>
      </w:r>
    </w:p>
    <w:p w14:paraId="566171C8">
      <w:pPr>
        <w:jc w:val="center"/>
      </w:pPr>
      <w:r>
        <w:rPr>
          <w:rFonts w:ascii="Times New Roman" w:hAnsi="Times New Roman" w:eastAsia="黑体"/>
          <w:b w:val="0"/>
          <w:bCs w:val="0"/>
          <w:color w:val="000000"/>
          <w:sz w:val="21"/>
          <w:szCs w:val="21"/>
        </w:rPr>
        <w:t>表D.1  CDR评定项目及评分标准</w:t>
      </w: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80"/>
        <w:gridCol w:w="2880"/>
        <w:gridCol w:w="2880"/>
      </w:tblGrid>
      <w:tr w14:paraId="1FE3A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7F28A8C">
            <w:pPr>
              <w:jc w:val="center"/>
            </w:pPr>
            <w:r>
              <w:rPr>
                <w:rFonts w:ascii="Times New Roman" w:hAnsi="Times New Roman" w:eastAsia="黑体"/>
                <w:color w:val="000000"/>
                <w:sz w:val="21"/>
                <w:szCs w:val="21"/>
              </w:rPr>
              <w:t>评估项目</w:t>
            </w:r>
          </w:p>
        </w:tc>
        <w:tc>
          <w:tcPr>
            <w:tcW w:w="2880" w:type="dxa"/>
          </w:tcPr>
          <w:p w14:paraId="32A245CF">
            <w:pPr>
              <w:jc w:val="center"/>
            </w:pPr>
            <w:r>
              <w:rPr>
                <w:rFonts w:ascii="Times New Roman" w:hAnsi="Times New Roman" w:eastAsia="黑体"/>
                <w:color w:val="000000"/>
                <w:sz w:val="21"/>
                <w:szCs w:val="21"/>
              </w:rPr>
              <w:t>评分标准</w:t>
            </w:r>
          </w:p>
        </w:tc>
        <w:tc>
          <w:tcPr>
            <w:tcW w:w="2880" w:type="dxa"/>
          </w:tcPr>
          <w:p w14:paraId="2168A132">
            <w:pPr>
              <w:jc w:val="center"/>
            </w:pPr>
            <w:r>
              <w:rPr>
                <w:rFonts w:ascii="Times New Roman" w:hAnsi="Times New Roman" w:eastAsia="黑体"/>
                <w:color w:val="000000"/>
                <w:sz w:val="21"/>
                <w:szCs w:val="21"/>
              </w:rPr>
              <w:t>得分</w:t>
            </w:r>
          </w:p>
        </w:tc>
      </w:tr>
      <w:tr w14:paraId="3F6B2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5697420F">
            <w:r>
              <w:rPr>
                <w:rFonts w:ascii="Times New Roman" w:hAnsi="Times New Roman" w:eastAsia="宋体"/>
                <w:color w:val="000000"/>
                <w:sz w:val="21"/>
                <w:szCs w:val="21"/>
              </w:rPr>
              <w:t>记忆力</w:t>
            </w:r>
          </w:p>
        </w:tc>
        <w:tc>
          <w:tcPr>
            <w:tcW w:w="2880" w:type="dxa"/>
          </w:tcPr>
          <w:p w14:paraId="06484F61">
            <w:r>
              <w:rPr>
                <w:rFonts w:ascii="Times New Roman" w:hAnsi="Times New Roman" w:eastAsia="宋体"/>
                <w:color w:val="000000"/>
                <w:sz w:val="21"/>
                <w:szCs w:val="21"/>
              </w:rPr>
              <w:t>0分：无损害；0.5分：可疑/极轻度；1分：轻度；2分：中度；3分：重度</w:t>
            </w:r>
          </w:p>
        </w:tc>
        <w:tc>
          <w:tcPr>
            <w:tcW w:w="2880" w:type="dxa"/>
          </w:tcPr>
          <w:p w14:paraId="1DEC7F3C">
            <w:r>
              <w:rPr>
                <w:rFonts w:ascii="Times New Roman" w:hAnsi="Times New Roman" w:eastAsia="宋体"/>
                <w:color w:val="000000"/>
                <w:sz w:val="21"/>
                <w:szCs w:val="21"/>
              </w:rPr>
              <w:t>____</w:t>
            </w:r>
          </w:p>
        </w:tc>
      </w:tr>
      <w:tr w14:paraId="3B2C1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69B181BE">
            <w:r>
              <w:rPr>
                <w:rFonts w:ascii="Times New Roman" w:hAnsi="Times New Roman" w:eastAsia="宋体"/>
                <w:color w:val="000000"/>
                <w:sz w:val="21"/>
                <w:szCs w:val="21"/>
              </w:rPr>
              <w:t>定向力</w:t>
            </w:r>
          </w:p>
        </w:tc>
        <w:tc>
          <w:tcPr>
            <w:tcW w:w="2880" w:type="dxa"/>
          </w:tcPr>
          <w:p w14:paraId="3B36B641">
            <w:r>
              <w:rPr>
                <w:rFonts w:ascii="Times New Roman" w:hAnsi="Times New Roman" w:eastAsia="宋体"/>
                <w:color w:val="000000"/>
                <w:sz w:val="21"/>
                <w:szCs w:val="21"/>
              </w:rPr>
              <w:t>0分：无损害；0.5分：可疑/极轻度；1分：轻度；2分：中度；3分：重度</w:t>
            </w:r>
          </w:p>
        </w:tc>
        <w:tc>
          <w:tcPr>
            <w:tcW w:w="2880" w:type="dxa"/>
          </w:tcPr>
          <w:p w14:paraId="07245FC2">
            <w:r>
              <w:rPr>
                <w:rFonts w:ascii="Times New Roman" w:hAnsi="Times New Roman" w:eastAsia="宋体"/>
                <w:color w:val="000000"/>
                <w:sz w:val="21"/>
                <w:szCs w:val="21"/>
              </w:rPr>
              <w:t>____</w:t>
            </w:r>
          </w:p>
        </w:tc>
      </w:tr>
      <w:tr w14:paraId="0FD4E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5EAFEBCE">
            <w:r>
              <w:rPr>
                <w:rFonts w:ascii="Times New Roman" w:hAnsi="Times New Roman" w:eastAsia="宋体"/>
                <w:color w:val="000000"/>
                <w:sz w:val="21"/>
                <w:szCs w:val="21"/>
              </w:rPr>
              <w:t>判断与解决问题能力</w:t>
            </w:r>
          </w:p>
        </w:tc>
        <w:tc>
          <w:tcPr>
            <w:tcW w:w="2880" w:type="dxa"/>
          </w:tcPr>
          <w:p w14:paraId="2A6CE33A">
            <w:r>
              <w:rPr>
                <w:rFonts w:ascii="Times New Roman" w:hAnsi="Times New Roman" w:eastAsia="宋体"/>
                <w:color w:val="000000"/>
                <w:sz w:val="21"/>
                <w:szCs w:val="21"/>
              </w:rPr>
              <w:t>0分：无损害；0.5分：可疑/极轻度；1分：轻度；2分：中度；3分：重度</w:t>
            </w:r>
          </w:p>
        </w:tc>
        <w:tc>
          <w:tcPr>
            <w:tcW w:w="2880" w:type="dxa"/>
          </w:tcPr>
          <w:p w14:paraId="3694F545">
            <w:r>
              <w:rPr>
                <w:rFonts w:ascii="Times New Roman" w:hAnsi="Times New Roman" w:eastAsia="宋体"/>
                <w:color w:val="000000"/>
                <w:sz w:val="21"/>
                <w:szCs w:val="21"/>
              </w:rPr>
              <w:t>____</w:t>
            </w:r>
          </w:p>
        </w:tc>
      </w:tr>
      <w:tr w14:paraId="055DE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655AFF26">
            <w:r>
              <w:rPr>
                <w:rFonts w:ascii="Times New Roman" w:hAnsi="Times New Roman" w:eastAsia="宋体"/>
                <w:color w:val="000000"/>
                <w:sz w:val="21"/>
                <w:szCs w:val="21"/>
              </w:rPr>
              <w:t>社会事务</w:t>
            </w:r>
          </w:p>
        </w:tc>
        <w:tc>
          <w:tcPr>
            <w:tcW w:w="2880" w:type="dxa"/>
          </w:tcPr>
          <w:p w14:paraId="7B0BA886">
            <w:r>
              <w:rPr>
                <w:rFonts w:ascii="Times New Roman" w:hAnsi="Times New Roman" w:eastAsia="宋体"/>
                <w:color w:val="000000"/>
                <w:sz w:val="21"/>
                <w:szCs w:val="21"/>
              </w:rPr>
              <w:t>0分：无损害；0.5分：可疑/极轻度；1分：轻度；2分：中度；3分：重度</w:t>
            </w:r>
          </w:p>
        </w:tc>
        <w:tc>
          <w:tcPr>
            <w:tcW w:w="2880" w:type="dxa"/>
          </w:tcPr>
          <w:p w14:paraId="4448A88A">
            <w:r>
              <w:rPr>
                <w:rFonts w:ascii="Times New Roman" w:hAnsi="Times New Roman" w:eastAsia="宋体"/>
                <w:color w:val="000000"/>
                <w:sz w:val="21"/>
                <w:szCs w:val="21"/>
              </w:rPr>
              <w:t>____</w:t>
            </w:r>
          </w:p>
        </w:tc>
      </w:tr>
      <w:tr w14:paraId="1832F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05019552">
            <w:r>
              <w:rPr>
                <w:rFonts w:ascii="Times New Roman" w:hAnsi="Times New Roman" w:eastAsia="宋体"/>
                <w:color w:val="000000"/>
                <w:sz w:val="21"/>
                <w:szCs w:val="21"/>
              </w:rPr>
              <w:t>家庭生活与爱好</w:t>
            </w:r>
          </w:p>
        </w:tc>
        <w:tc>
          <w:tcPr>
            <w:tcW w:w="2880" w:type="dxa"/>
          </w:tcPr>
          <w:p w14:paraId="78076A1E">
            <w:r>
              <w:rPr>
                <w:rFonts w:ascii="Times New Roman" w:hAnsi="Times New Roman" w:eastAsia="宋体"/>
                <w:color w:val="000000"/>
                <w:sz w:val="21"/>
                <w:szCs w:val="21"/>
              </w:rPr>
              <w:t>0分：无损害；0.5分：可疑/极轻度；1分：轻度；2分：中度；3分：重度</w:t>
            </w:r>
          </w:p>
        </w:tc>
        <w:tc>
          <w:tcPr>
            <w:tcW w:w="2880" w:type="dxa"/>
          </w:tcPr>
          <w:p w14:paraId="21FFFDB7">
            <w:r>
              <w:rPr>
                <w:rFonts w:ascii="Times New Roman" w:hAnsi="Times New Roman" w:eastAsia="宋体"/>
                <w:color w:val="000000"/>
                <w:sz w:val="21"/>
                <w:szCs w:val="21"/>
              </w:rPr>
              <w:t>____</w:t>
            </w:r>
          </w:p>
        </w:tc>
      </w:tr>
      <w:tr w14:paraId="610CA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618CBBBC">
            <w:r>
              <w:rPr>
                <w:rFonts w:ascii="Times New Roman" w:hAnsi="Times New Roman" w:eastAsia="宋体"/>
                <w:color w:val="000000"/>
                <w:sz w:val="21"/>
                <w:szCs w:val="21"/>
              </w:rPr>
              <w:t>个人照料（仅供参考，不计入总体分级）</w:t>
            </w:r>
          </w:p>
        </w:tc>
        <w:tc>
          <w:tcPr>
            <w:tcW w:w="2880" w:type="dxa"/>
          </w:tcPr>
          <w:p w14:paraId="3687F68B">
            <w:r>
              <w:rPr>
                <w:rFonts w:ascii="Times New Roman" w:hAnsi="Times New Roman" w:eastAsia="宋体"/>
                <w:color w:val="000000"/>
                <w:sz w:val="21"/>
                <w:szCs w:val="21"/>
              </w:rPr>
              <w:t>0分：无损害；0.5分：可疑/极轻度；1分：轻度；2分：中度；3分：重度</w:t>
            </w:r>
          </w:p>
        </w:tc>
        <w:tc>
          <w:tcPr>
            <w:tcW w:w="2880" w:type="dxa"/>
          </w:tcPr>
          <w:p w14:paraId="0E0444AC">
            <w:r>
              <w:rPr>
                <w:rFonts w:ascii="Times New Roman" w:hAnsi="Times New Roman" w:eastAsia="宋体"/>
                <w:color w:val="000000"/>
                <w:sz w:val="21"/>
                <w:szCs w:val="21"/>
              </w:rPr>
              <w:t>____</w:t>
            </w:r>
          </w:p>
        </w:tc>
      </w:tr>
      <w:tr w14:paraId="479DD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1F63C65F">
            <w:r>
              <w:rPr>
                <w:rFonts w:ascii="Times New Roman" w:hAnsi="Times New Roman" w:eastAsia="宋体"/>
                <w:color w:val="000000"/>
                <w:sz w:val="21"/>
                <w:szCs w:val="21"/>
              </w:rPr>
              <w:t>总体分级判定</w:t>
            </w:r>
          </w:p>
        </w:tc>
        <w:tc>
          <w:tcPr>
            <w:tcW w:w="2880" w:type="dxa"/>
          </w:tcPr>
          <w:p w14:paraId="1AA464F7">
            <w:r>
              <w:rPr>
                <w:rFonts w:ascii="Times New Roman" w:hAnsi="Times New Roman" w:eastAsia="宋体"/>
                <w:color w:val="000000"/>
                <w:sz w:val="21"/>
                <w:szCs w:val="21"/>
              </w:rPr>
              <w:t>0分：无痴呆；0.5分：可疑痴呆；1分：轻度痴呆；2分：中度痴呆；3分：重度痴呆</w:t>
            </w:r>
          </w:p>
        </w:tc>
        <w:tc>
          <w:tcPr>
            <w:tcW w:w="2880" w:type="dxa"/>
          </w:tcPr>
          <w:p w14:paraId="76F03CDC">
            <w:r>
              <w:rPr>
                <w:rFonts w:ascii="Times New Roman" w:hAnsi="Times New Roman" w:eastAsia="宋体"/>
                <w:color w:val="000000"/>
                <w:sz w:val="21"/>
                <w:szCs w:val="21"/>
              </w:rPr>
              <w:t>____</w:t>
            </w:r>
          </w:p>
        </w:tc>
      </w:tr>
    </w:tbl>
    <w:p w14:paraId="51135830">
      <w:pPr>
        <w:pStyle w:val="24"/>
        <w:pBdr>
          <w:top w:val="none" w:color="auto" w:sz="0" w:space="0"/>
          <w:left w:val="none" w:color="auto" w:sz="0" w:space="0"/>
          <w:bottom w:val="none" w:color="auto" w:sz="0" w:space="0"/>
          <w:right w:val="none" w:color="auto" w:sz="0" w:space="0"/>
        </w:pBdr>
      </w:pPr>
      <w:r>
        <w:t>评分说明：</w:t>
      </w:r>
    </w:p>
    <w:p w14:paraId="0A558721">
      <w:pPr>
        <w:pStyle w:val="24"/>
        <w:pBdr>
          <w:top w:val="none" w:color="auto" w:sz="0" w:space="0"/>
          <w:left w:val="none" w:color="auto" w:sz="0" w:space="0"/>
          <w:bottom w:val="none" w:color="auto" w:sz="0" w:space="0"/>
          <w:right w:val="none" w:color="auto" w:sz="0" w:space="0"/>
        </w:pBdr>
      </w:pPr>
      <w:r>
        <w:rPr>
          <w:rFonts w:hint="eastAsia"/>
          <w:lang w:eastAsia="zh-CN"/>
        </w:rPr>
        <w:t>a）</w:t>
      </w:r>
      <w:r>
        <w:t>总体CDR分级以记忆力评分为主，结合其他认知域评分综合判定；</w:t>
      </w:r>
    </w:p>
    <w:p w14:paraId="40735943">
      <w:pPr>
        <w:pStyle w:val="24"/>
        <w:pBdr>
          <w:top w:val="none" w:color="auto" w:sz="0" w:space="0"/>
          <w:left w:val="none" w:color="auto" w:sz="0" w:space="0"/>
          <w:bottom w:val="none" w:color="auto" w:sz="0" w:space="0"/>
          <w:right w:val="none" w:color="auto" w:sz="0" w:space="0"/>
        </w:pBdr>
      </w:pPr>
      <w:r>
        <w:rPr>
          <w:rFonts w:hint="eastAsia"/>
          <w:lang w:eastAsia="zh-CN"/>
        </w:rPr>
        <w:t>b）</w:t>
      </w:r>
      <w:r>
        <w:t>个人照料项目不参与总体分级计算，仅作为功能参考；</w:t>
      </w:r>
    </w:p>
    <w:p w14:paraId="6A41D2BE">
      <w:pPr>
        <w:pStyle w:val="24"/>
        <w:pBdr>
          <w:top w:val="none" w:color="auto" w:sz="0" w:space="0"/>
          <w:left w:val="none" w:color="auto" w:sz="0" w:space="0"/>
          <w:bottom w:val="none" w:color="auto" w:sz="0" w:space="0"/>
          <w:right w:val="none" w:color="auto" w:sz="0" w:space="0"/>
        </w:pBdr>
      </w:pPr>
      <w:r>
        <w:rPr>
          <w:rFonts w:hint="eastAsia"/>
          <w:lang w:eastAsia="zh-CN"/>
        </w:rPr>
        <w:t>c）评定宜由经过培训的医师或神经心理评估师通过访谈和观察完成。</w:t>
      </w:r>
    </w:p>
    <w:p w14:paraId="0FBB9890">
      <w:pPr>
        <w:spacing w:line="360" w:lineRule="auto"/>
        <w:ind w:firstLine="420"/>
        <w:rPr>
          <w:rFonts w:ascii="宋体" w:hAnsi="宋体" w:eastAsia="宋体"/>
          <w:b w:val="0"/>
          <w:i w:val="0"/>
          <w:sz w:val="21"/>
          <w:szCs w:val="21"/>
        </w:rPr>
      </w:pPr>
      <w:r>
        <w:rPr>
          <w:rFonts w:ascii="Times New Roman" w:hAnsi="Times New Roman" w:eastAsia="宋体"/>
          <w:b w:val="0"/>
          <w:i w:val="0"/>
          <w:color w:val="000000"/>
          <w:sz w:val="24"/>
          <w:szCs w:val="24"/>
        </w:rPr>
        <w:br w:type="page"/>
      </w:r>
    </w:p>
    <w:p w14:paraId="28B00436">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bookmarkStart w:id="63" w:name="_Toc15730"/>
      <w:bookmarkStart w:id="64" w:name="_Toc9369"/>
      <w:r>
        <w:rPr>
          <w:rFonts w:hint="eastAsia"/>
          <w:lang w:val="en-US" w:eastAsia="zh-CN"/>
        </w:rPr>
        <w:t>附  录 E</w:t>
      </w:r>
      <w:bookmarkEnd w:id="63"/>
      <w:bookmarkEnd w:id="64"/>
    </w:p>
    <w:p w14:paraId="0939CFE0">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（资料性）</w:t>
      </w:r>
    </w:p>
    <w:p w14:paraId="68AE5F71">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日常生活能力评估（Barthel指数评分表）</w:t>
      </w:r>
    </w:p>
    <w:p w14:paraId="13C17337">
      <w:pPr>
        <w:pStyle w:val="24"/>
        <w:pBdr>
          <w:top w:val="none" w:color="auto" w:sz="0" w:space="0"/>
          <w:left w:val="none" w:color="auto" w:sz="0" w:space="0"/>
          <w:bottom w:val="none" w:color="auto" w:sz="0" w:space="0"/>
          <w:right w:val="none" w:color="auto" w:sz="0" w:space="0"/>
        </w:pBdr>
      </w:pPr>
      <w:r>
        <w:t>Barthel指数（Barthel Index, BI）用于评估</w:t>
      </w:r>
      <w:r>
        <w:rPr>
          <w:rFonts w:hint="eastAsia"/>
          <w:lang w:val="en-US" w:eastAsia="zh-CN"/>
        </w:rPr>
        <w:t>认知障碍基础性</w:t>
      </w:r>
      <w:r>
        <w:t>日常生活活动能力，共包含10个项目，总分100分。根据总分判定依赖程度，对应本文件4认知障碍分级。</w:t>
      </w:r>
    </w:p>
    <w:p w14:paraId="25831ABA">
      <w:pPr>
        <w:jc w:val="center"/>
        <w:rPr>
          <w:rFonts w:hint="eastAsia" w:ascii="宋体" w:hAnsi="宋体" w:eastAsia="宋体" w:cs="宋体"/>
        </w:rPr>
      </w:pPr>
      <w:r>
        <w:rPr>
          <w:rFonts w:hint="eastAsia" w:ascii="宋体" w:hAnsi="宋体" w:eastAsia="宋体" w:cs="宋体"/>
          <w:b w:val="0"/>
          <w:bCs w:val="0"/>
          <w:color w:val="000000"/>
          <w:sz w:val="21"/>
          <w:szCs w:val="21"/>
        </w:rPr>
        <w:t>表E.1  Barthel指数评定项目及评分标准</w:t>
      </w: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80"/>
        <w:gridCol w:w="2880"/>
        <w:gridCol w:w="2880"/>
      </w:tblGrid>
      <w:tr w14:paraId="68D8A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5307CF1A">
            <w:pPr>
              <w:jc w:val="center"/>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评估项目</w:t>
            </w:r>
          </w:p>
        </w:tc>
        <w:tc>
          <w:tcPr>
            <w:tcW w:w="2880" w:type="dxa"/>
          </w:tcPr>
          <w:p w14:paraId="62BF6FFD">
            <w:pPr>
              <w:jc w:val="center"/>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评分标准</w:t>
            </w:r>
          </w:p>
        </w:tc>
        <w:tc>
          <w:tcPr>
            <w:tcW w:w="2880" w:type="dxa"/>
          </w:tcPr>
          <w:p w14:paraId="07FACBC7">
            <w:pPr>
              <w:jc w:val="center"/>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得分</w:t>
            </w:r>
          </w:p>
        </w:tc>
      </w:tr>
      <w:tr w14:paraId="668F6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593E9BC8">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1. 进食</w:t>
            </w:r>
          </w:p>
        </w:tc>
        <w:tc>
          <w:tcPr>
            <w:tcW w:w="2880" w:type="dxa"/>
          </w:tcPr>
          <w:p w14:paraId="3A23D4AB">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10分：可独立进食</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5分：需部分帮助（如切面包、抹黄油、夹菜等）</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0分：完全依赖他人喂食</w:t>
            </w:r>
          </w:p>
        </w:tc>
        <w:tc>
          <w:tcPr>
            <w:tcW w:w="2880" w:type="dxa"/>
          </w:tcPr>
          <w:p w14:paraId="192E9DEB">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____</w:t>
            </w:r>
          </w:p>
        </w:tc>
      </w:tr>
      <w:tr w14:paraId="3183D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F5B2252">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2. 洗澡</w:t>
            </w:r>
          </w:p>
        </w:tc>
        <w:tc>
          <w:tcPr>
            <w:tcW w:w="2880" w:type="dxa"/>
          </w:tcPr>
          <w:p w14:paraId="3D5990B6">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5分：可独立完成洗澡全过程</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0分：完全依赖他人帮助洗澡</w:t>
            </w:r>
          </w:p>
        </w:tc>
        <w:tc>
          <w:tcPr>
            <w:tcW w:w="2880" w:type="dxa"/>
          </w:tcPr>
          <w:p w14:paraId="29CBDD01">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____</w:t>
            </w:r>
          </w:p>
        </w:tc>
      </w:tr>
      <w:tr w14:paraId="7B4B7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403D5CF7">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3. 修饰（洗脸、刷牙、梳头、刮脸等）</w:t>
            </w:r>
          </w:p>
        </w:tc>
        <w:tc>
          <w:tcPr>
            <w:tcW w:w="2880" w:type="dxa"/>
          </w:tcPr>
          <w:p w14:paraId="0202321C">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5分：可独立完成修饰动作</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0分：完全依赖他人帮助修饰</w:t>
            </w:r>
          </w:p>
        </w:tc>
        <w:tc>
          <w:tcPr>
            <w:tcW w:w="2880" w:type="dxa"/>
          </w:tcPr>
          <w:p w14:paraId="3808C37E">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____</w:t>
            </w:r>
          </w:p>
        </w:tc>
      </w:tr>
      <w:tr w14:paraId="03F32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1A1CA517">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4. 穿衣（包括系鞋带等）</w:t>
            </w:r>
          </w:p>
        </w:tc>
        <w:tc>
          <w:tcPr>
            <w:tcW w:w="2880" w:type="dxa"/>
          </w:tcPr>
          <w:p w14:paraId="5C90A62C">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10分：可独立穿脱衣服、系鞋带、扣纽扣</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5分：需部分帮助（如协助系鞋带、扣复杂纽扣等）</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0分：完全依赖他人帮助穿衣</w:t>
            </w:r>
          </w:p>
        </w:tc>
        <w:tc>
          <w:tcPr>
            <w:tcW w:w="2880" w:type="dxa"/>
          </w:tcPr>
          <w:p w14:paraId="2B2A1522">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____</w:t>
            </w:r>
          </w:p>
        </w:tc>
      </w:tr>
      <w:tr w14:paraId="024FF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5C6E7127">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5. 控制大便</w:t>
            </w:r>
          </w:p>
        </w:tc>
        <w:tc>
          <w:tcPr>
            <w:tcW w:w="2880" w:type="dxa"/>
          </w:tcPr>
          <w:p w14:paraId="5B81C816">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10分：可自主控制大便，无失禁</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5分：偶有失禁（每周≤1次），需使用栓剂或灌肠</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0分：完全失禁，或需他人帮助处理</w:t>
            </w:r>
          </w:p>
        </w:tc>
        <w:tc>
          <w:tcPr>
            <w:tcW w:w="2880" w:type="dxa"/>
          </w:tcPr>
          <w:p w14:paraId="2CAEACAC">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____</w:t>
            </w:r>
          </w:p>
        </w:tc>
      </w:tr>
      <w:tr w14:paraId="37149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4D4D7A50">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6. 控制小便</w:t>
            </w:r>
          </w:p>
        </w:tc>
        <w:tc>
          <w:tcPr>
            <w:tcW w:w="2880" w:type="dxa"/>
          </w:tcPr>
          <w:p w14:paraId="543D6711">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10分：可自主控制小便，无失禁</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5分：偶有失禁（每24小时≤1次，每周＞1次），需使用尿具</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0分：完全失禁，或需留置导尿管</w:t>
            </w:r>
          </w:p>
        </w:tc>
        <w:tc>
          <w:tcPr>
            <w:tcW w:w="2880" w:type="dxa"/>
          </w:tcPr>
          <w:p w14:paraId="115FC0A6">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____</w:t>
            </w:r>
          </w:p>
        </w:tc>
      </w:tr>
      <w:tr w14:paraId="5F79E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1851983F">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7. 如厕（包括去厕所、解开衣裤、擦净、整理衣裤、冲水等）</w:t>
            </w:r>
          </w:p>
        </w:tc>
        <w:tc>
          <w:tcPr>
            <w:tcW w:w="2880" w:type="dxa"/>
          </w:tcPr>
          <w:p w14:paraId="414C7BF1">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10分：可独立完成如厕全过程</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5分：需部分帮助（如协助擦净、整理衣裤、冲水等）</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0分：完全依赖他人帮助如厕</w:t>
            </w:r>
          </w:p>
        </w:tc>
        <w:tc>
          <w:tcPr>
            <w:tcW w:w="2880" w:type="dxa"/>
          </w:tcPr>
          <w:p w14:paraId="354ACF97">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____</w:t>
            </w:r>
          </w:p>
        </w:tc>
      </w:tr>
      <w:tr w14:paraId="1D843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65DE9F42">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8. 床椅转移</w:t>
            </w:r>
          </w:p>
        </w:tc>
        <w:tc>
          <w:tcPr>
            <w:tcW w:w="2880" w:type="dxa"/>
          </w:tcPr>
          <w:p w14:paraId="25A7DB2A">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15分：可独立完成床与轮椅/椅子之间的转移</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10分：需少量帮助（如语言指导或身体轻扶）</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5分：需大量帮助（如两人搀扶、身体抬起等）</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0分：完全依赖他人转移</w:t>
            </w:r>
          </w:p>
        </w:tc>
        <w:tc>
          <w:tcPr>
            <w:tcW w:w="2880" w:type="dxa"/>
          </w:tcPr>
          <w:p w14:paraId="1C282DD0">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____</w:t>
            </w:r>
          </w:p>
        </w:tc>
      </w:tr>
      <w:tr w14:paraId="737EC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213CFE52">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9. 平地行走</w:t>
            </w:r>
          </w:p>
        </w:tc>
        <w:tc>
          <w:tcPr>
            <w:tcW w:w="2880" w:type="dxa"/>
          </w:tcPr>
          <w:p w14:paraId="669B6553">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15分：可独立在平地上行走45米以上</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10分：需少量帮助（如语言指导或在旁监护）</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5分：使用轮椅可独立操作，或行走时需大量帮助</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0分：完全不能行走，完全依赖他人推行轮椅</w:t>
            </w:r>
          </w:p>
        </w:tc>
        <w:tc>
          <w:tcPr>
            <w:tcW w:w="2880" w:type="dxa"/>
          </w:tcPr>
          <w:p w14:paraId="0C107B9A">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____</w:t>
            </w:r>
          </w:p>
        </w:tc>
      </w:tr>
      <w:tr w14:paraId="313BC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02AE9D46">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10. 上下楼梯</w:t>
            </w:r>
          </w:p>
        </w:tc>
        <w:tc>
          <w:tcPr>
            <w:tcW w:w="2880" w:type="dxa"/>
          </w:tcPr>
          <w:p w14:paraId="5915C3D3">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10分：可独立上下楼梯</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5分：需部分帮助（如扶扶手、他人搀扶等）</w:t>
            </w:r>
            <w:r>
              <w:rPr>
                <w:rFonts w:hint="eastAsia" w:ascii="宋体" w:hAnsi="宋体" w:eastAsia="宋体" w:cs="宋体"/>
                <w:b w:val="0"/>
                <w:bCs/>
                <w:color w:val="000000"/>
                <w:sz w:val="21"/>
                <w:szCs w:val="21"/>
              </w:rPr>
              <w:br w:type="textWrapping"/>
            </w:r>
            <w:r>
              <w:rPr>
                <w:rFonts w:hint="eastAsia" w:ascii="宋体" w:hAnsi="宋体" w:eastAsia="宋体" w:cs="宋体"/>
                <w:b w:val="0"/>
                <w:bCs/>
                <w:i w:val="0"/>
                <w:color w:val="000000"/>
                <w:sz w:val="21"/>
                <w:szCs w:val="21"/>
              </w:rPr>
              <w:t>0分：完全依赖他人帮助上下楼梯</w:t>
            </w:r>
          </w:p>
        </w:tc>
        <w:tc>
          <w:tcPr>
            <w:tcW w:w="2880" w:type="dxa"/>
          </w:tcPr>
          <w:p w14:paraId="79C5CEEF">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____</w:t>
            </w:r>
          </w:p>
        </w:tc>
      </w:tr>
      <w:tr w14:paraId="6406C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31F5C182">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总分</w:t>
            </w:r>
          </w:p>
        </w:tc>
        <w:tc>
          <w:tcPr>
            <w:tcW w:w="2880" w:type="dxa"/>
          </w:tcPr>
          <w:p w14:paraId="342CA3F6">
            <w:pPr>
              <w:jc w:val="left"/>
              <w:rPr>
                <w:rFonts w:hint="eastAsia" w:ascii="宋体" w:hAnsi="宋体" w:eastAsia="宋体" w:cs="宋体"/>
                <w:b w:val="0"/>
                <w:bCs/>
                <w:sz w:val="21"/>
                <w:szCs w:val="21"/>
              </w:rPr>
            </w:pPr>
          </w:p>
        </w:tc>
        <w:tc>
          <w:tcPr>
            <w:tcW w:w="2880" w:type="dxa"/>
          </w:tcPr>
          <w:p w14:paraId="262C76A9">
            <w:pPr>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____分</w:t>
            </w:r>
          </w:p>
        </w:tc>
      </w:tr>
    </w:tbl>
    <w:p w14:paraId="7789FA82">
      <w:pPr>
        <w:keepLines w:val="0"/>
        <w:spacing w:before="120" w:after="60" w:line="360" w:lineRule="auto"/>
        <w:ind w:firstLine="420"/>
        <w:jc w:val="left"/>
        <w:rPr>
          <w:b w:val="0"/>
          <w:bCs/>
          <w:sz w:val="21"/>
          <w:szCs w:val="21"/>
        </w:rPr>
      </w:pPr>
      <w:r>
        <w:rPr>
          <w:rFonts w:ascii="Times New Roman" w:hAnsi="Times New Roman" w:eastAsia="宋体"/>
          <w:b w:val="0"/>
          <w:bCs/>
          <w:i w:val="0"/>
          <w:color w:val="000000"/>
          <w:sz w:val="21"/>
          <w:szCs w:val="21"/>
        </w:rPr>
        <w:t>依赖程度判定标准</w:t>
      </w:r>
    </w:p>
    <w:p w14:paraId="49E7F789">
      <w:pPr>
        <w:jc w:val="center"/>
        <w:rPr>
          <w:rFonts w:hint="eastAsia" w:ascii="宋体" w:hAnsi="宋体" w:eastAsia="宋体" w:cs="宋体"/>
          <w:sz w:val="21"/>
          <w:szCs w:val="21"/>
        </w:rPr>
      </w:pPr>
      <w:r>
        <w:rPr>
          <w:rFonts w:hint="eastAsia" w:ascii="宋体" w:hAnsi="宋体" w:eastAsia="宋体" w:cs="宋体"/>
          <w:b w:val="0"/>
          <w:bCs w:val="0"/>
          <w:color w:val="000000"/>
          <w:sz w:val="21"/>
          <w:szCs w:val="21"/>
        </w:rPr>
        <w:t>表E.2  Barthel指数依赖程度判定标准</w:t>
      </w: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80"/>
        <w:gridCol w:w="2880"/>
        <w:gridCol w:w="2880"/>
      </w:tblGrid>
      <w:tr w14:paraId="69726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1A059F8B">
            <w:pPr>
              <w:jc w:val="center"/>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总分区间</w:t>
            </w:r>
          </w:p>
        </w:tc>
        <w:tc>
          <w:tcPr>
            <w:tcW w:w="2880" w:type="dxa"/>
          </w:tcPr>
          <w:p w14:paraId="58893F4D">
            <w:pPr>
              <w:jc w:val="center"/>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依赖程度</w:t>
            </w:r>
          </w:p>
        </w:tc>
        <w:tc>
          <w:tcPr>
            <w:tcW w:w="2880" w:type="dxa"/>
          </w:tcPr>
          <w:p w14:paraId="514A6096">
            <w:pPr>
              <w:jc w:val="center"/>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对应本文件分级</w:t>
            </w:r>
          </w:p>
        </w:tc>
      </w:tr>
      <w:tr w14:paraId="2F76B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353075A4">
            <w:pPr>
              <w:jc w:val="center"/>
              <w:rPr>
                <w:rFonts w:hint="eastAsia" w:ascii="宋体" w:hAnsi="宋体" w:eastAsia="宋体" w:cs="宋体"/>
                <w:sz w:val="21"/>
                <w:szCs w:val="21"/>
              </w:rPr>
            </w:pPr>
            <w:r>
              <w:rPr>
                <w:rFonts w:hint="eastAsia" w:ascii="宋体" w:hAnsi="宋体" w:eastAsia="宋体" w:cs="宋体"/>
                <w:b w:val="0"/>
                <w:i w:val="0"/>
                <w:color w:val="000000"/>
                <w:sz w:val="21"/>
                <w:szCs w:val="21"/>
              </w:rPr>
              <w:t>100分</w:t>
            </w:r>
          </w:p>
        </w:tc>
        <w:tc>
          <w:tcPr>
            <w:tcW w:w="2880" w:type="dxa"/>
          </w:tcPr>
          <w:p w14:paraId="7FC5C095">
            <w:pPr>
              <w:jc w:val="center"/>
              <w:rPr>
                <w:rFonts w:hint="eastAsia" w:ascii="宋体" w:hAnsi="宋体" w:eastAsia="宋体" w:cs="宋体"/>
                <w:sz w:val="21"/>
                <w:szCs w:val="21"/>
              </w:rPr>
            </w:pPr>
            <w:r>
              <w:rPr>
                <w:rFonts w:hint="eastAsia" w:ascii="宋体" w:hAnsi="宋体" w:eastAsia="宋体" w:cs="宋体"/>
                <w:b w:val="0"/>
                <w:i w:val="0"/>
                <w:color w:val="000000"/>
                <w:sz w:val="21"/>
                <w:szCs w:val="21"/>
              </w:rPr>
              <w:t>完全独立</w:t>
            </w:r>
          </w:p>
        </w:tc>
        <w:tc>
          <w:tcPr>
            <w:tcW w:w="2880" w:type="dxa"/>
          </w:tcPr>
          <w:p w14:paraId="33FAF953">
            <w:pPr>
              <w:jc w:val="center"/>
              <w:rPr>
                <w:rFonts w:hint="eastAsia" w:ascii="宋体" w:hAnsi="宋体" w:eastAsia="宋体" w:cs="宋体"/>
                <w:sz w:val="21"/>
                <w:szCs w:val="21"/>
              </w:rPr>
            </w:pPr>
            <w:r>
              <w:rPr>
                <w:rFonts w:hint="eastAsia" w:ascii="宋体" w:hAnsi="宋体" w:eastAsia="宋体" w:cs="宋体"/>
                <w:b w:val="0"/>
                <w:i w:val="0"/>
                <w:color w:val="000000"/>
                <w:sz w:val="21"/>
                <w:szCs w:val="21"/>
              </w:rPr>
              <w:t>4.1 轻度认知障碍</w:t>
            </w:r>
          </w:p>
        </w:tc>
      </w:tr>
      <w:tr w14:paraId="03106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6A298A48">
            <w:pPr>
              <w:jc w:val="center"/>
              <w:rPr>
                <w:rFonts w:hint="eastAsia" w:ascii="宋体" w:hAnsi="宋体" w:eastAsia="宋体" w:cs="宋体"/>
                <w:sz w:val="21"/>
                <w:szCs w:val="21"/>
              </w:rPr>
            </w:pPr>
            <w:r>
              <w:rPr>
                <w:rFonts w:hint="eastAsia" w:ascii="宋体" w:hAnsi="宋体" w:eastAsia="宋体" w:cs="宋体"/>
                <w:b w:val="0"/>
                <w:i w:val="0"/>
                <w:color w:val="000000"/>
                <w:sz w:val="21"/>
                <w:szCs w:val="21"/>
              </w:rPr>
              <w:t>61</w:t>
            </w:r>
            <w:r>
              <w:rPr>
                <w:rFonts w:hint="eastAsia" w:ascii="宋体" w:hAnsi="宋体" w:eastAsia="宋体" w:cs="宋体"/>
                <w:b w:val="0"/>
                <w:i w:val="0"/>
                <w:color w:val="000000"/>
                <w:sz w:val="21"/>
                <w:szCs w:val="21"/>
                <w:lang w:eastAsia="zh-CN"/>
              </w:rPr>
              <w:t>～</w:t>
            </w:r>
            <w:r>
              <w:rPr>
                <w:rFonts w:hint="eastAsia" w:ascii="宋体" w:hAnsi="宋体" w:eastAsia="宋体" w:cs="宋体"/>
                <w:b w:val="0"/>
                <w:i w:val="0"/>
                <w:color w:val="000000"/>
                <w:sz w:val="21"/>
                <w:szCs w:val="21"/>
              </w:rPr>
              <w:t>99分</w:t>
            </w:r>
          </w:p>
        </w:tc>
        <w:tc>
          <w:tcPr>
            <w:tcW w:w="2880" w:type="dxa"/>
          </w:tcPr>
          <w:p w14:paraId="39A0F18B">
            <w:pPr>
              <w:jc w:val="center"/>
              <w:rPr>
                <w:rFonts w:hint="eastAsia" w:ascii="宋体" w:hAnsi="宋体" w:eastAsia="宋体" w:cs="宋体"/>
                <w:sz w:val="21"/>
                <w:szCs w:val="21"/>
              </w:rPr>
            </w:pPr>
            <w:r>
              <w:rPr>
                <w:rFonts w:hint="eastAsia" w:ascii="宋体" w:hAnsi="宋体" w:eastAsia="宋体" w:cs="宋体"/>
                <w:b w:val="0"/>
                <w:i w:val="0"/>
                <w:color w:val="000000"/>
                <w:sz w:val="21"/>
                <w:szCs w:val="21"/>
              </w:rPr>
              <w:t>轻度依赖</w:t>
            </w:r>
          </w:p>
        </w:tc>
        <w:tc>
          <w:tcPr>
            <w:tcW w:w="2880" w:type="dxa"/>
          </w:tcPr>
          <w:p w14:paraId="791FAFE8">
            <w:pPr>
              <w:jc w:val="center"/>
              <w:rPr>
                <w:rFonts w:hint="eastAsia" w:ascii="宋体" w:hAnsi="宋体" w:eastAsia="宋体" w:cs="宋体"/>
                <w:sz w:val="21"/>
                <w:szCs w:val="21"/>
              </w:rPr>
            </w:pPr>
            <w:r>
              <w:rPr>
                <w:rFonts w:hint="eastAsia" w:ascii="宋体" w:hAnsi="宋体" w:eastAsia="宋体" w:cs="宋体"/>
                <w:b w:val="0"/>
                <w:i w:val="0"/>
                <w:color w:val="000000"/>
                <w:sz w:val="21"/>
                <w:szCs w:val="21"/>
              </w:rPr>
              <w:t>4.2 轻度痴呆</w:t>
            </w:r>
          </w:p>
        </w:tc>
      </w:tr>
      <w:tr w14:paraId="0DA55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4DF0F88">
            <w:pPr>
              <w:jc w:val="center"/>
              <w:rPr>
                <w:rFonts w:hint="eastAsia" w:ascii="宋体" w:hAnsi="宋体" w:eastAsia="宋体" w:cs="宋体"/>
                <w:sz w:val="21"/>
                <w:szCs w:val="21"/>
              </w:rPr>
            </w:pPr>
            <w:r>
              <w:rPr>
                <w:rFonts w:hint="eastAsia" w:ascii="宋体" w:hAnsi="宋体" w:eastAsia="宋体" w:cs="宋体"/>
                <w:b w:val="0"/>
                <w:i w:val="0"/>
                <w:color w:val="000000"/>
                <w:sz w:val="21"/>
                <w:szCs w:val="21"/>
              </w:rPr>
              <w:t>41</w:t>
            </w:r>
            <w:r>
              <w:rPr>
                <w:rFonts w:hint="eastAsia" w:ascii="宋体" w:hAnsi="宋体" w:eastAsia="宋体" w:cs="宋体"/>
                <w:b w:val="0"/>
                <w:i w:val="0"/>
                <w:color w:val="000000"/>
                <w:sz w:val="21"/>
                <w:szCs w:val="21"/>
                <w:lang w:eastAsia="zh-CN"/>
              </w:rPr>
              <w:t>～</w:t>
            </w:r>
            <w:r>
              <w:rPr>
                <w:rFonts w:hint="eastAsia" w:ascii="宋体" w:hAnsi="宋体" w:eastAsia="宋体" w:cs="宋体"/>
                <w:b w:val="0"/>
                <w:i w:val="0"/>
                <w:color w:val="000000"/>
                <w:sz w:val="21"/>
                <w:szCs w:val="21"/>
              </w:rPr>
              <w:t>60分</w:t>
            </w:r>
          </w:p>
        </w:tc>
        <w:tc>
          <w:tcPr>
            <w:tcW w:w="2880" w:type="dxa"/>
          </w:tcPr>
          <w:p w14:paraId="6166F4A9">
            <w:pPr>
              <w:jc w:val="center"/>
              <w:rPr>
                <w:rFonts w:hint="eastAsia" w:ascii="宋体" w:hAnsi="宋体" w:eastAsia="宋体" w:cs="宋体"/>
                <w:sz w:val="21"/>
                <w:szCs w:val="21"/>
              </w:rPr>
            </w:pPr>
            <w:r>
              <w:rPr>
                <w:rFonts w:hint="eastAsia" w:ascii="宋体" w:hAnsi="宋体" w:eastAsia="宋体" w:cs="宋体"/>
                <w:b w:val="0"/>
                <w:i w:val="0"/>
                <w:color w:val="000000"/>
                <w:sz w:val="21"/>
                <w:szCs w:val="21"/>
              </w:rPr>
              <w:t>中度依赖</w:t>
            </w:r>
          </w:p>
        </w:tc>
        <w:tc>
          <w:tcPr>
            <w:tcW w:w="2880" w:type="dxa"/>
          </w:tcPr>
          <w:p w14:paraId="1B9A17CD">
            <w:pPr>
              <w:jc w:val="center"/>
              <w:rPr>
                <w:rFonts w:hint="eastAsia" w:ascii="宋体" w:hAnsi="宋体" w:eastAsia="宋体" w:cs="宋体"/>
                <w:sz w:val="21"/>
                <w:szCs w:val="21"/>
              </w:rPr>
            </w:pPr>
            <w:r>
              <w:rPr>
                <w:rFonts w:hint="eastAsia" w:ascii="宋体" w:hAnsi="宋体" w:eastAsia="宋体" w:cs="宋体"/>
                <w:b w:val="0"/>
                <w:i w:val="0"/>
                <w:color w:val="000000"/>
                <w:sz w:val="21"/>
                <w:szCs w:val="21"/>
              </w:rPr>
              <w:t>4.3 中度痴呆</w:t>
            </w:r>
          </w:p>
        </w:tc>
      </w:tr>
      <w:tr w14:paraId="29651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55EFCED0">
            <w:pPr>
              <w:jc w:val="center"/>
              <w:rPr>
                <w:rFonts w:hint="eastAsia" w:ascii="宋体" w:hAnsi="宋体" w:eastAsia="宋体" w:cs="宋体"/>
                <w:sz w:val="21"/>
                <w:szCs w:val="21"/>
              </w:rPr>
            </w:pPr>
            <w:r>
              <w:rPr>
                <w:rFonts w:hint="eastAsia" w:ascii="宋体" w:hAnsi="宋体" w:eastAsia="宋体" w:cs="宋体"/>
                <w:b w:val="0"/>
                <w:i w:val="0"/>
                <w:color w:val="000000"/>
                <w:sz w:val="21"/>
                <w:szCs w:val="21"/>
              </w:rPr>
              <w:t>≤40分</w:t>
            </w:r>
          </w:p>
        </w:tc>
        <w:tc>
          <w:tcPr>
            <w:tcW w:w="2880" w:type="dxa"/>
          </w:tcPr>
          <w:p w14:paraId="4081134C">
            <w:pPr>
              <w:jc w:val="center"/>
              <w:rPr>
                <w:rFonts w:hint="eastAsia" w:ascii="宋体" w:hAnsi="宋体" w:eastAsia="宋体" w:cs="宋体"/>
                <w:sz w:val="21"/>
                <w:szCs w:val="21"/>
              </w:rPr>
            </w:pPr>
            <w:r>
              <w:rPr>
                <w:rFonts w:hint="eastAsia" w:ascii="宋体" w:hAnsi="宋体" w:eastAsia="宋体" w:cs="宋体"/>
                <w:b w:val="0"/>
                <w:i w:val="0"/>
                <w:color w:val="000000"/>
                <w:sz w:val="21"/>
                <w:szCs w:val="21"/>
              </w:rPr>
              <w:t>重度依赖</w:t>
            </w:r>
          </w:p>
        </w:tc>
        <w:tc>
          <w:tcPr>
            <w:tcW w:w="2880" w:type="dxa"/>
          </w:tcPr>
          <w:p w14:paraId="6B38822D">
            <w:pPr>
              <w:jc w:val="center"/>
              <w:rPr>
                <w:rFonts w:hint="eastAsia" w:ascii="宋体" w:hAnsi="宋体" w:eastAsia="宋体" w:cs="宋体"/>
                <w:sz w:val="21"/>
                <w:szCs w:val="21"/>
              </w:rPr>
            </w:pPr>
            <w:r>
              <w:rPr>
                <w:rFonts w:hint="eastAsia" w:ascii="宋体" w:hAnsi="宋体" w:eastAsia="宋体" w:cs="宋体"/>
                <w:b w:val="0"/>
                <w:i w:val="0"/>
                <w:color w:val="000000"/>
                <w:sz w:val="21"/>
                <w:szCs w:val="21"/>
              </w:rPr>
              <w:t>4.4 重度痴呆</w:t>
            </w:r>
          </w:p>
        </w:tc>
      </w:tr>
    </w:tbl>
    <w:p w14:paraId="0A52E00F">
      <w:pPr>
        <w:pStyle w:val="24"/>
        <w:pBdr>
          <w:top w:val="none" w:color="auto" w:sz="0" w:space="0"/>
          <w:left w:val="none" w:color="auto" w:sz="0" w:space="0"/>
          <w:bottom w:val="none" w:color="auto" w:sz="0" w:space="0"/>
          <w:right w:val="none" w:color="auto" w:sz="0" w:space="0"/>
        </w:pBdr>
      </w:pPr>
      <w:r>
        <w:t>评分说明：</w:t>
      </w:r>
    </w:p>
    <w:p w14:paraId="5D0ACF0F">
      <w:pPr>
        <w:pStyle w:val="24"/>
        <w:pBdr>
          <w:top w:val="none" w:color="auto" w:sz="0" w:space="0"/>
          <w:left w:val="none" w:color="auto" w:sz="0" w:space="0"/>
          <w:bottom w:val="none" w:color="auto" w:sz="0" w:space="0"/>
          <w:right w:val="none" w:color="auto" w:sz="0" w:space="0"/>
        </w:pBdr>
      </w:pPr>
      <w:r>
        <w:rPr>
          <w:rFonts w:hint="eastAsia"/>
          <w:lang w:eastAsia="zh-CN"/>
        </w:rPr>
        <w:t>a）评估宜在认知障碍人群日常状态下进行，避免在疲劳、情绪波动或急性疾病期间评估；</w:t>
      </w:r>
    </w:p>
    <w:p w14:paraId="6C8728ED">
      <w:pPr>
        <w:pStyle w:val="24"/>
        <w:pBdr>
          <w:top w:val="none" w:color="auto" w:sz="0" w:space="0"/>
          <w:left w:val="none" w:color="auto" w:sz="0" w:space="0"/>
          <w:bottom w:val="none" w:color="auto" w:sz="0" w:space="0"/>
          <w:right w:val="none" w:color="auto" w:sz="0" w:space="0"/>
        </w:pBdr>
      </w:pPr>
      <w:r>
        <w:rPr>
          <w:rFonts w:hint="eastAsia"/>
          <w:lang w:eastAsia="zh-CN"/>
        </w:rPr>
        <w:t>b）</w:t>
      </w:r>
      <w:r>
        <w:t>每项评分以</w:t>
      </w:r>
      <w:r>
        <w:rPr>
          <w:rFonts w:hint="eastAsia"/>
          <w:lang w:val="en-US" w:eastAsia="zh-CN"/>
        </w:rPr>
        <w:t>认知障碍人群</w:t>
      </w:r>
      <w:r>
        <w:t>实际完成能力为准，不以其主观意愿或既往能力为依据；</w:t>
      </w:r>
    </w:p>
    <w:p w14:paraId="5682933C">
      <w:pPr>
        <w:pStyle w:val="24"/>
        <w:pBdr>
          <w:top w:val="none" w:color="auto" w:sz="0" w:space="0"/>
          <w:left w:val="none" w:color="auto" w:sz="0" w:space="0"/>
          <w:bottom w:val="none" w:color="auto" w:sz="0" w:space="0"/>
          <w:right w:val="none" w:color="auto" w:sz="0" w:space="0"/>
        </w:pBdr>
      </w:pPr>
      <w:r>
        <w:rPr>
          <w:rFonts w:hint="eastAsia"/>
          <w:lang w:eastAsia="zh-CN"/>
        </w:rPr>
        <w:t>c）</w:t>
      </w:r>
      <w:r>
        <w:t>"部分帮助"指</w:t>
      </w:r>
      <w:r>
        <w:rPr>
          <w:rFonts w:hint="eastAsia"/>
          <w:lang w:val="en-US" w:eastAsia="zh-CN"/>
        </w:rPr>
        <w:t>认知障碍人群</w:t>
      </w:r>
      <w:r>
        <w:t>能完成部分动作，但需他人在旁协助完成剩余部分；</w:t>
      </w:r>
    </w:p>
    <w:p w14:paraId="19DEFD7E">
      <w:pPr>
        <w:pStyle w:val="24"/>
        <w:pBdr>
          <w:top w:val="none" w:color="auto" w:sz="0" w:space="0"/>
          <w:left w:val="none" w:color="auto" w:sz="0" w:space="0"/>
          <w:bottom w:val="none" w:color="auto" w:sz="0" w:space="0"/>
          <w:right w:val="none" w:color="auto" w:sz="0" w:space="0"/>
        </w:pBdr>
      </w:pPr>
      <w:r>
        <w:rPr>
          <w:rFonts w:hint="eastAsia"/>
          <w:lang w:eastAsia="zh-CN"/>
        </w:rPr>
        <w:t>d）若认知障碍人群使用辅助器具（如拐杖、助行器、轮椅），宜记录所用器具类型；</w:t>
      </w:r>
    </w:p>
    <w:p w14:paraId="0716A861">
      <w:pPr>
        <w:pStyle w:val="24"/>
        <w:pBdr>
          <w:top w:val="none" w:color="auto" w:sz="0" w:space="0"/>
          <w:left w:val="none" w:color="auto" w:sz="0" w:space="0"/>
          <w:bottom w:val="none" w:color="auto" w:sz="0" w:space="0"/>
          <w:right w:val="none" w:color="auto" w:sz="0" w:space="0"/>
        </w:pBdr>
      </w:pPr>
      <w:r>
        <w:rPr>
          <w:rFonts w:hint="eastAsia"/>
          <w:lang w:eastAsia="zh-CN"/>
        </w:rPr>
        <w:t>e）评估宜由经培训的评估人员执行，评估结果宜与其他认知评估工具（如MoCA）结合使用，综合判定认知障碍分级。</w:t>
      </w:r>
    </w:p>
    <w:p w14:paraId="724FB497">
      <w:pPr>
        <w:spacing w:line="360" w:lineRule="auto"/>
        <w:ind w:firstLine="420"/>
        <w:rPr>
          <w:rFonts w:ascii="宋体" w:hAnsi="宋体" w:eastAsia="宋体"/>
          <w:b w:val="0"/>
          <w:i w:val="0"/>
          <w:sz w:val="21"/>
          <w:szCs w:val="21"/>
        </w:rPr>
      </w:pPr>
      <w:r>
        <w:rPr>
          <w:rFonts w:ascii="Times New Roman" w:hAnsi="Times New Roman" w:eastAsia="宋体"/>
          <w:b w:val="0"/>
          <w:i w:val="0"/>
          <w:color w:val="000000"/>
          <w:sz w:val="24"/>
          <w:szCs w:val="24"/>
        </w:rPr>
        <w:br w:type="page"/>
      </w:r>
    </w:p>
    <w:p w14:paraId="503A31D8">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bookmarkStart w:id="65" w:name="_Toc19524"/>
      <w:bookmarkStart w:id="66" w:name="_Toc5185"/>
      <w:r>
        <w:rPr>
          <w:rFonts w:hint="eastAsia"/>
          <w:lang w:val="en-US" w:eastAsia="zh-CN"/>
        </w:rPr>
        <w:t>附  录 F</w:t>
      </w:r>
      <w:bookmarkEnd w:id="65"/>
      <w:bookmarkEnd w:id="66"/>
    </w:p>
    <w:p w14:paraId="18814A58">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（资料性）</w:t>
      </w:r>
    </w:p>
    <w:p w14:paraId="69632A0F">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功能独立性评定量表（FIM）</w:t>
      </w:r>
    </w:p>
    <w:p w14:paraId="64422A23">
      <w:pPr>
        <w:pStyle w:val="24"/>
        <w:pBdr>
          <w:top w:val="none" w:color="auto" w:sz="0" w:space="0"/>
          <w:left w:val="none" w:color="auto" w:sz="0" w:space="0"/>
          <w:bottom w:val="none" w:color="auto" w:sz="0" w:space="0"/>
          <w:right w:val="none" w:color="auto" w:sz="0" w:space="0"/>
        </w:pBdr>
      </w:pPr>
      <w:r>
        <w:t>功能独立性评定量表（Functional Independence Measure, FIM）用于评估基础性日常生活活动能力和认知社会功能，共18个项目，分为运动功能（13项）和认知功能（5项）两部分，每项1分～7分，总分18分～126分。</w:t>
      </w:r>
    </w:p>
    <w:p w14:paraId="4AF8D98F">
      <w:pPr>
        <w:jc w:val="center"/>
      </w:pPr>
      <w:r>
        <w:rPr>
          <w:rFonts w:ascii="Times New Roman" w:hAnsi="Times New Roman" w:eastAsia="黑体"/>
          <w:b w:val="0"/>
          <w:bCs w:val="0"/>
          <w:color w:val="000000"/>
          <w:sz w:val="21"/>
          <w:szCs w:val="21"/>
        </w:rPr>
        <w:t>表F.1  FIM评定项目及评分标准</w:t>
      </w: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80"/>
        <w:gridCol w:w="2880"/>
        <w:gridCol w:w="2880"/>
      </w:tblGrid>
      <w:tr w14:paraId="2EE89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D1E1FF6">
            <w:pPr>
              <w:jc w:val="center"/>
            </w:pPr>
            <w:r>
              <w:rPr>
                <w:rFonts w:ascii="Times New Roman" w:hAnsi="Times New Roman" w:eastAsia="黑体"/>
                <w:color w:val="000000"/>
                <w:sz w:val="21"/>
                <w:szCs w:val="21"/>
              </w:rPr>
              <w:t>评估项目</w:t>
            </w:r>
          </w:p>
        </w:tc>
        <w:tc>
          <w:tcPr>
            <w:tcW w:w="2880" w:type="dxa"/>
          </w:tcPr>
          <w:p w14:paraId="322222D8">
            <w:pPr>
              <w:jc w:val="center"/>
            </w:pPr>
            <w:r>
              <w:rPr>
                <w:rFonts w:ascii="Times New Roman" w:hAnsi="Times New Roman" w:eastAsia="黑体"/>
                <w:color w:val="000000"/>
                <w:sz w:val="21"/>
                <w:szCs w:val="21"/>
              </w:rPr>
              <w:t>评分标准</w:t>
            </w:r>
          </w:p>
        </w:tc>
        <w:tc>
          <w:tcPr>
            <w:tcW w:w="2880" w:type="dxa"/>
          </w:tcPr>
          <w:p w14:paraId="1CD276F3">
            <w:pPr>
              <w:jc w:val="center"/>
            </w:pPr>
            <w:r>
              <w:rPr>
                <w:rFonts w:ascii="Times New Roman" w:hAnsi="Times New Roman" w:eastAsia="黑体"/>
                <w:color w:val="000000"/>
                <w:sz w:val="21"/>
                <w:szCs w:val="21"/>
              </w:rPr>
              <w:t>得分</w:t>
            </w:r>
          </w:p>
        </w:tc>
      </w:tr>
      <w:tr w14:paraId="47E51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5B674141">
            <w:r>
              <w:rPr>
                <w:rFonts w:ascii="Times New Roman" w:hAnsi="Times New Roman" w:eastAsia="宋体"/>
                <w:color w:val="000000"/>
                <w:sz w:val="21"/>
                <w:szCs w:val="21"/>
              </w:rPr>
              <w:t>自我照料（6项）</w:t>
            </w:r>
          </w:p>
        </w:tc>
        <w:tc>
          <w:tcPr>
            <w:tcW w:w="2880" w:type="dxa"/>
          </w:tcPr>
          <w:p w14:paraId="6B23F714">
            <w:r>
              <w:rPr>
                <w:rFonts w:ascii="Times New Roman" w:hAnsi="Times New Roman" w:eastAsia="宋体"/>
                <w:color w:val="000000"/>
                <w:sz w:val="21"/>
                <w:szCs w:val="21"/>
              </w:rPr>
              <w:t>进食、梳洗修饰、洗澡、穿脱上身衣物、穿脱下身衣物、如厕</w:t>
            </w:r>
            <w:r>
              <w:rPr>
                <w:rFonts w:ascii="Times New Roman" w:hAnsi="Times New Roman" w:eastAsia="宋体"/>
                <w:color w:val="000000"/>
                <w:sz w:val="21"/>
                <w:szCs w:val="21"/>
              </w:rPr>
              <w:br w:type="textWrapping"/>
            </w:r>
            <w:r>
              <w:rPr>
                <w:rFonts w:ascii="Times New Roman" w:hAnsi="Times New Roman" w:eastAsia="宋体"/>
                <w:color w:val="000000"/>
                <w:sz w:val="21"/>
                <w:szCs w:val="21"/>
              </w:rPr>
              <w:t>每项1分～7分</w:t>
            </w:r>
          </w:p>
        </w:tc>
        <w:tc>
          <w:tcPr>
            <w:tcW w:w="2880" w:type="dxa"/>
          </w:tcPr>
          <w:p w14:paraId="487A5B06">
            <w:r>
              <w:rPr>
                <w:rFonts w:ascii="Times New Roman" w:hAnsi="Times New Roman" w:eastAsia="宋体"/>
                <w:color w:val="000000"/>
                <w:sz w:val="21"/>
                <w:szCs w:val="21"/>
              </w:rPr>
              <w:t>____</w:t>
            </w:r>
          </w:p>
        </w:tc>
      </w:tr>
      <w:tr w14:paraId="23E63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D51723F">
            <w:r>
              <w:rPr>
                <w:rFonts w:ascii="Times New Roman" w:hAnsi="Times New Roman" w:eastAsia="宋体"/>
                <w:color w:val="000000"/>
                <w:sz w:val="21"/>
                <w:szCs w:val="21"/>
              </w:rPr>
              <w:t>括约肌控制（2项）</w:t>
            </w:r>
          </w:p>
        </w:tc>
        <w:tc>
          <w:tcPr>
            <w:tcW w:w="2880" w:type="dxa"/>
          </w:tcPr>
          <w:p w14:paraId="04B697EE">
            <w:r>
              <w:rPr>
                <w:rFonts w:ascii="Times New Roman" w:hAnsi="Times New Roman" w:eastAsia="宋体"/>
                <w:color w:val="000000"/>
                <w:sz w:val="21"/>
                <w:szCs w:val="21"/>
              </w:rPr>
              <w:t>排尿管理、排便管理</w:t>
            </w:r>
            <w:r>
              <w:rPr>
                <w:rFonts w:ascii="Times New Roman" w:hAnsi="Times New Roman" w:eastAsia="宋体"/>
                <w:color w:val="000000"/>
                <w:sz w:val="21"/>
                <w:szCs w:val="21"/>
              </w:rPr>
              <w:br w:type="textWrapping"/>
            </w:r>
            <w:r>
              <w:rPr>
                <w:rFonts w:ascii="Times New Roman" w:hAnsi="Times New Roman" w:eastAsia="宋体"/>
                <w:color w:val="000000"/>
                <w:sz w:val="21"/>
                <w:szCs w:val="21"/>
              </w:rPr>
              <w:t>每项1分～7分</w:t>
            </w:r>
          </w:p>
        </w:tc>
        <w:tc>
          <w:tcPr>
            <w:tcW w:w="2880" w:type="dxa"/>
          </w:tcPr>
          <w:p w14:paraId="1F0DFBAE">
            <w:r>
              <w:rPr>
                <w:rFonts w:ascii="Times New Roman" w:hAnsi="Times New Roman" w:eastAsia="宋体"/>
                <w:color w:val="000000"/>
                <w:sz w:val="21"/>
                <w:szCs w:val="21"/>
              </w:rPr>
              <w:t>____</w:t>
            </w:r>
          </w:p>
        </w:tc>
      </w:tr>
      <w:tr w14:paraId="63B68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0D9EABE5">
            <w:r>
              <w:rPr>
                <w:rFonts w:ascii="Times New Roman" w:hAnsi="Times New Roman" w:eastAsia="宋体"/>
                <w:color w:val="000000"/>
                <w:sz w:val="21"/>
                <w:szCs w:val="21"/>
              </w:rPr>
              <w:t>转移（3项）</w:t>
            </w:r>
          </w:p>
        </w:tc>
        <w:tc>
          <w:tcPr>
            <w:tcW w:w="2880" w:type="dxa"/>
          </w:tcPr>
          <w:p w14:paraId="21839854">
            <w:r>
              <w:rPr>
                <w:rFonts w:ascii="Times New Roman" w:hAnsi="Times New Roman" w:eastAsia="宋体"/>
                <w:color w:val="000000"/>
                <w:sz w:val="21"/>
                <w:szCs w:val="21"/>
              </w:rPr>
              <w:t>床椅转移、转移至坐便器、转移至浴盆/淋浴室</w:t>
            </w:r>
            <w:r>
              <w:rPr>
                <w:rFonts w:ascii="Times New Roman" w:hAnsi="Times New Roman" w:eastAsia="宋体"/>
                <w:color w:val="000000"/>
                <w:sz w:val="21"/>
                <w:szCs w:val="21"/>
              </w:rPr>
              <w:br w:type="textWrapping"/>
            </w:r>
            <w:r>
              <w:rPr>
                <w:rFonts w:ascii="Times New Roman" w:hAnsi="Times New Roman" w:eastAsia="宋体"/>
                <w:color w:val="000000"/>
                <w:sz w:val="21"/>
                <w:szCs w:val="21"/>
              </w:rPr>
              <w:t>每项1分～7分</w:t>
            </w:r>
          </w:p>
        </w:tc>
        <w:tc>
          <w:tcPr>
            <w:tcW w:w="2880" w:type="dxa"/>
          </w:tcPr>
          <w:p w14:paraId="6F07850F">
            <w:r>
              <w:rPr>
                <w:rFonts w:ascii="Times New Roman" w:hAnsi="Times New Roman" w:eastAsia="宋体"/>
                <w:color w:val="000000"/>
                <w:sz w:val="21"/>
                <w:szCs w:val="21"/>
              </w:rPr>
              <w:t>____</w:t>
            </w:r>
          </w:p>
        </w:tc>
      </w:tr>
      <w:tr w14:paraId="4E088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691B57CA">
            <w:r>
              <w:rPr>
                <w:rFonts w:ascii="Times New Roman" w:hAnsi="Times New Roman" w:eastAsia="宋体"/>
                <w:color w:val="000000"/>
                <w:sz w:val="21"/>
                <w:szCs w:val="21"/>
              </w:rPr>
              <w:t>行走（2项）</w:t>
            </w:r>
          </w:p>
        </w:tc>
        <w:tc>
          <w:tcPr>
            <w:tcW w:w="2880" w:type="dxa"/>
          </w:tcPr>
          <w:p w14:paraId="16554630">
            <w:r>
              <w:rPr>
                <w:rFonts w:ascii="Times New Roman" w:hAnsi="Times New Roman" w:eastAsia="宋体"/>
                <w:color w:val="000000"/>
                <w:sz w:val="21"/>
                <w:szCs w:val="21"/>
              </w:rPr>
              <w:t>步行/轮椅、上下楼梯</w:t>
            </w:r>
            <w:r>
              <w:rPr>
                <w:rFonts w:ascii="Times New Roman" w:hAnsi="Times New Roman" w:eastAsia="宋体"/>
                <w:color w:val="000000"/>
                <w:sz w:val="21"/>
                <w:szCs w:val="21"/>
              </w:rPr>
              <w:br w:type="textWrapping"/>
            </w:r>
            <w:r>
              <w:rPr>
                <w:rFonts w:ascii="Times New Roman" w:hAnsi="Times New Roman" w:eastAsia="宋体"/>
                <w:color w:val="000000"/>
                <w:sz w:val="21"/>
                <w:szCs w:val="21"/>
              </w:rPr>
              <w:t>每项1分～7分</w:t>
            </w:r>
          </w:p>
        </w:tc>
        <w:tc>
          <w:tcPr>
            <w:tcW w:w="2880" w:type="dxa"/>
          </w:tcPr>
          <w:p w14:paraId="5CC20B7D">
            <w:r>
              <w:rPr>
                <w:rFonts w:ascii="Times New Roman" w:hAnsi="Times New Roman" w:eastAsia="宋体"/>
                <w:color w:val="000000"/>
                <w:sz w:val="21"/>
                <w:szCs w:val="21"/>
              </w:rPr>
              <w:t>____</w:t>
            </w:r>
          </w:p>
        </w:tc>
      </w:tr>
      <w:tr w14:paraId="36FD4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27021285">
            <w:r>
              <w:rPr>
                <w:rFonts w:ascii="Times New Roman" w:hAnsi="Times New Roman" w:eastAsia="宋体"/>
                <w:color w:val="000000"/>
                <w:sz w:val="21"/>
                <w:szCs w:val="21"/>
              </w:rPr>
              <w:t>交流（2项）</w:t>
            </w:r>
          </w:p>
        </w:tc>
        <w:tc>
          <w:tcPr>
            <w:tcW w:w="2880" w:type="dxa"/>
          </w:tcPr>
          <w:p w14:paraId="2D30770E">
            <w:r>
              <w:rPr>
                <w:rFonts w:ascii="Times New Roman" w:hAnsi="Times New Roman" w:eastAsia="宋体"/>
                <w:color w:val="000000"/>
                <w:sz w:val="21"/>
                <w:szCs w:val="21"/>
              </w:rPr>
              <w:t>理解、表达</w:t>
            </w:r>
            <w:r>
              <w:rPr>
                <w:rFonts w:ascii="Times New Roman" w:hAnsi="Times New Roman" w:eastAsia="宋体"/>
                <w:color w:val="000000"/>
                <w:sz w:val="21"/>
                <w:szCs w:val="21"/>
              </w:rPr>
              <w:br w:type="textWrapping"/>
            </w:r>
            <w:r>
              <w:rPr>
                <w:rFonts w:ascii="Times New Roman" w:hAnsi="Times New Roman" w:eastAsia="宋体"/>
                <w:color w:val="000000"/>
                <w:sz w:val="21"/>
                <w:szCs w:val="21"/>
              </w:rPr>
              <w:t>每项1分～7分</w:t>
            </w:r>
          </w:p>
        </w:tc>
        <w:tc>
          <w:tcPr>
            <w:tcW w:w="2880" w:type="dxa"/>
          </w:tcPr>
          <w:p w14:paraId="47A0DC7A">
            <w:r>
              <w:rPr>
                <w:rFonts w:ascii="Times New Roman" w:hAnsi="Times New Roman" w:eastAsia="宋体"/>
                <w:color w:val="000000"/>
                <w:sz w:val="21"/>
                <w:szCs w:val="21"/>
              </w:rPr>
              <w:t>____</w:t>
            </w:r>
          </w:p>
        </w:tc>
      </w:tr>
      <w:tr w14:paraId="60616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130CE3C1">
            <w:r>
              <w:rPr>
                <w:rFonts w:ascii="Times New Roman" w:hAnsi="Times New Roman" w:eastAsia="宋体"/>
                <w:color w:val="000000"/>
                <w:sz w:val="21"/>
                <w:szCs w:val="21"/>
              </w:rPr>
              <w:t>社会认知（3项）</w:t>
            </w:r>
          </w:p>
        </w:tc>
        <w:tc>
          <w:tcPr>
            <w:tcW w:w="2880" w:type="dxa"/>
          </w:tcPr>
          <w:p w14:paraId="5DC7C505">
            <w:r>
              <w:rPr>
                <w:rFonts w:ascii="Times New Roman" w:hAnsi="Times New Roman" w:eastAsia="宋体"/>
                <w:color w:val="000000"/>
                <w:sz w:val="21"/>
                <w:szCs w:val="21"/>
              </w:rPr>
              <w:t>社会交往、解决问题、记忆</w:t>
            </w:r>
            <w:r>
              <w:rPr>
                <w:rFonts w:ascii="Times New Roman" w:hAnsi="Times New Roman" w:eastAsia="宋体"/>
                <w:color w:val="000000"/>
                <w:sz w:val="21"/>
                <w:szCs w:val="21"/>
              </w:rPr>
              <w:br w:type="textWrapping"/>
            </w:r>
            <w:r>
              <w:rPr>
                <w:rFonts w:ascii="Times New Roman" w:hAnsi="Times New Roman" w:eastAsia="宋体"/>
                <w:color w:val="000000"/>
                <w:sz w:val="21"/>
                <w:szCs w:val="21"/>
              </w:rPr>
              <w:t>每项1分～7分</w:t>
            </w:r>
          </w:p>
        </w:tc>
        <w:tc>
          <w:tcPr>
            <w:tcW w:w="2880" w:type="dxa"/>
          </w:tcPr>
          <w:p w14:paraId="06230812">
            <w:r>
              <w:rPr>
                <w:rFonts w:ascii="Times New Roman" w:hAnsi="Times New Roman" w:eastAsia="宋体"/>
                <w:color w:val="000000"/>
                <w:sz w:val="21"/>
                <w:szCs w:val="21"/>
              </w:rPr>
              <w:t>____</w:t>
            </w:r>
          </w:p>
        </w:tc>
      </w:tr>
      <w:tr w14:paraId="79890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5A4E89CC">
            <w:r>
              <w:rPr>
                <w:rFonts w:ascii="Times New Roman" w:hAnsi="Times New Roman" w:eastAsia="宋体"/>
                <w:color w:val="000000"/>
                <w:sz w:val="21"/>
                <w:szCs w:val="21"/>
              </w:rPr>
              <w:t>总分（18分～126分）</w:t>
            </w:r>
          </w:p>
        </w:tc>
        <w:tc>
          <w:tcPr>
            <w:tcW w:w="2880" w:type="dxa"/>
          </w:tcPr>
          <w:p w14:paraId="2F0F9EAB">
            <w:r>
              <w:rPr>
                <w:rFonts w:ascii="Times New Roman" w:hAnsi="Times New Roman" w:eastAsia="宋体"/>
                <w:color w:val="000000"/>
                <w:sz w:val="21"/>
                <w:szCs w:val="21"/>
              </w:rPr>
              <w:t>运动功能满分91分，认知功能满分35分</w:t>
            </w:r>
          </w:p>
        </w:tc>
        <w:tc>
          <w:tcPr>
            <w:tcW w:w="2880" w:type="dxa"/>
          </w:tcPr>
          <w:p w14:paraId="4F291300">
            <w:r>
              <w:rPr>
                <w:rFonts w:ascii="Times New Roman" w:hAnsi="Times New Roman" w:eastAsia="宋体"/>
                <w:color w:val="000000"/>
                <w:sz w:val="21"/>
                <w:szCs w:val="21"/>
              </w:rPr>
              <w:t>____</w:t>
            </w:r>
          </w:p>
        </w:tc>
      </w:tr>
    </w:tbl>
    <w:p w14:paraId="1DE6C8D5">
      <w:pPr>
        <w:pStyle w:val="24"/>
        <w:pBdr>
          <w:top w:val="none" w:color="auto" w:sz="0" w:space="0"/>
          <w:left w:val="none" w:color="auto" w:sz="0" w:space="0"/>
          <w:bottom w:val="none" w:color="auto" w:sz="0" w:space="0"/>
          <w:right w:val="none" w:color="auto" w:sz="0" w:space="0"/>
        </w:pBdr>
      </w:pPr>
      <w:r>
        <w:t>评分说明：</w:t>
      </w:r>
    </w:p>
    <w:p w14:paraId="7CD0FE27">
      <w:pPr>
        <w:pStyle w:val="24"/>
        <w:pBdr>
          <w:top w:val="none" w:color="auto" w:sz="0" w:space="0"/>
          <w:left w:val="none" w:color="auto" w:sz="0" w:space="0"/>
          <w:bottom w:val="none" w:color="auto" w:sz="0" w:space="0"/>
          <w:right w:val="none" w:color="auto" w:sz="0" w:space="0"/>
        </w:pBdr>
      </w:pPr>
      <w:r>
        <w:rPr>
          <w:rFonts w:hint="eastAsia"/>
          <w:lang w:eastAsia="zh-CN"/>
        </w:rPr>
        <w:t>a）</w:t>
      </w:r>
      <w:r>
        <w:t>每项按1分（完全依赖）～7分（完全独立）评定：7分为完全独立，6分为有条件独立（需辅助器具，或耗时过长、存在安全顾虑），5分为需监护或事先准备，4分为需少量接触性帮助，3分为需中等接触性帮助，2分为需大量接触性帮助，1分为完全依赖；</w:t>
      </w:r>
    </w:p>
    <w:p w14:paraId="10886DAE">
      <w:pPr>
        <w:pStyle w:val="24"/>
        <w:pBdr>
          <w:top w:val="none" w:color="auto" w:sz="0" w:space="0"/>
          <w:left w:val="none" w:color="auto" w:sz="0" w:space="0"/>
          <w:bottom w:val="none" w:color="auto" w:sz="0" w:space="0"/>
          <w:right w:val="none" w:color="auto" w:sz="0" w:space="0"/>
        </w:pBdr>
      </w:pPr>
      <w:r>
        <w:rPr>
          <w:rFonts w:hint="eastAsia"/>
          <w:lang w:eastAsia="zh-CN"/>
        </w:rPr>
        <w:t>b）</w:t>
      </w:r>
      <w:r>
        <w:t>得分越高提示功能独立性越好；</w:t>
      </w:r>
    </w:p>
    <w:p w14:paraId="7285EA99">
      <w:pPr>
        <w:pStyle w:val="24"/>
        <w:pBdr>
          <w:top w:val="none" w:color="auto" w:sz="0" w:space="0"/>
          <w:left w:val="none" w:color="auto" w:sz="0" w:space="0"/>
          <w:bottom w:val="none" w:color="auto" w:sz="0" w:space="0"/>
          <w:right w:val="none" w:color="auto" w:sz="0" w:space="0"/>
        </w:pBdr>
      </w:pPr>
      <w:r>
        <w:rPr>
          <w:rFonts w:hint="eastAsia"/>
          <w:lang w:eastAsia="zh-CN"/>
        </w:rPr>
        <w:t>c）评定宜依据使用者实际完成情况，而非其主观意愿或既往能力。</w:t>
      </w:r>
    </w:p>
    <w:p w14:paraId="0570A57D">
      <w:pPr>
        <w:spacing w:line="360" w:lineRule="auto"/>
        <w:ind w:firstLine="420"/>
        <w:rPr>
          <w:rFonts w:ascii="宋体" w:hAnsi="宋体" w:eastAsia="宋体"/>
          <w:b w:val="0"/>
          <w:i w:val="0"/>
          <w:sz w:val="21"/>
          <w:szCs w:val="21"/>
        </w:rPr>
      </w:pPr>
      <w:r>
        <w:rPr>
          <w:rFonts w:ascii="Times New Roman" w:hAnsi="Times New Roman" w:eastAsia="宋体"/>
          <w:b w:val="0"/>
          <w:i w:val="0"/>
          <w:color w:val="000000"/>
          <w:sz w:val="24"/>
          <w:szCs w:val="24"/>
        </w:rPr>
        <w:br w:type="page"/>
      </w:r>
    </w:p>
    <w:p w14:paraId="75C77CAA">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bookmarkStart w:id="67" w:name="_Toc6653"/>
      <w:bookmarkStart w:id="68" w:name="_Toc10822"/>
      <w:r>
        <w:rPr>
          <w:rFonts w:hint="eastAsia"/>
          <w:lang w:val="en-US" w:eastAsia="zh-CN"/>
        </w:rPr>
        <w:t>附  录 G</w:t>
      </w:r>
      <w:bookmarkEnd w:id="67"/>
      <w:bookmarkEnd w:id="68"/>
    </w:p>
    <w:p w14:paraId="16F41E20">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（资料性）</w:t>
      </w:r>
    </w:p>
    <w:p w14:paraId="54F05C71">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Lawton工具性日常生活活动量表（IADL）</w:t>
      </w:r>
    </w:p>
    <w:p w14:paraId="64481D03">
      <w:pPr>
        <w:pStyle w:val="24"/>
        <w:pBdr>
          <w:top w:val="none" w:color="auto" w:sz="0" w:space="0"/>
          <w:left w:val="none" w:color="auto" w:sz="0" w:space="0"/>
          <w:bottom w:val="none" w:color="auto" w:sz="0" w:space="0"/>
          <w:right w:val="none" w:color="auto" w:sz="0" w:space="0"/>
        </w:pBdr>
      </w:pPr>
      <w:r>
        <w:t>Lawton工具性日常生活活动量表用于评估工具性日常生活活动能力（IADL），共8个项目，每项0分～1分，总分0分～8分。</w:t>
      </w:r>
    </w:p>
    <w:p w14:paraId="28209226">
      <w:pPr>
        <w:pStyle w:val="24"/>
        <w:pBdr>
          <w:top w:val="none" w:color="auto" w:sz="0" w:space="0"/>
          <w:left w:val="none" w:color="auto" w:sz="0" w:space="0"/>
          <w:bottom w:val="none" w:color="auto" w:sz="0" w:space="0"/>
          <w:right w:val="none" w:color="auto" w:sz="0" w:space="0"/>
        </w:pBdr>
        <w:jc w:val="center"/>
      </w:pPr>
      <w:r>
        <w:t>表G.1  Lawton工具性日常生活活动量表评定项目及评分标准</w:t>
      </w: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80"/>
        <w:gridCol w:w="2880"/>
        <w:gridCol w:w="2880"/>
      </w:tblGrid>
      <w:tr w14:paraId="0EFA3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880" w:type="dxa"/>
          </w:tcPr>
          <w:p w14:paraId="2CFD2EF1">
            <w:pPr>
              <w:jc w:val="center"/>
            </w:pPr>
            <w:r>
              <w:rPr>
                <w:rFonts w:ascii="Times New Roman" w:hAnsi="Times New Roman" w:eastAsia="黑体"/>
                <w:color w:val="000000"/>
                <w:sz w:val="21"/>
                <w:szCs w:val="21"/>
              </w:rPr>
              <w:t>评估项目</w:t>
            </w:r>
          </w:p>
        </w:tc>
        <w:tc>
          <w:tcPr>
            <w:tcW w:w="2880" w:type="dxa"/>
          </w:tcPr>
          <w:p w14:paraId="54190BF0">
            <w:pPr>
              <w:jc w:val="center"/>
            </w:pPr>
            <w:r>
              <w:rPr>
                <w:rFonts w:ascii="Times New Roman" w:hAnsi="Times New Roman" w:eastAsia="黑体"/>
                <w:color w:val="000000"/>
                <w:sz w:val="21"/>
                <w:szCs w:val="21"/>
              </w:rPr>
              <w:t>评分标准</w:t>
            </w:r>
          </w:p>
        </w:tc>
        <w:tc>
          <w:tcPr>
            <w:tcW w:w="2880" w:type="dxa"/>
          </w:tcPr>
          <w:p w14:paraId="7ACCD462">
            <w:pPr>
              <w:jc w:val="center"/>
            </w:pPr>
            <w:r>
              <w:rPr>
                <w:rFonts w:ascii="Times New Roman" w:hAnsi="Times New Roman" w:eastAsia="黑体"/>
                <w:color w:val="000000"/>
                <w:sz w:val="21"/>
                <w:szCs w:val="21"/>
              </w:rPr>
              <w:t>得分</w:t>
            </w:r>
          </w:p>
        </w:tc>
      </w:tr>
      <w:tr w14:paraId="14111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6B657E2C">
            <w:r>
              <w:rPr>
                <w:rFonts w:ascii="Times New Roman" w:hAnsi="Times New Roman" w:eastAsia="宋体"/>
                <w:color w:val="000000"/>
                <w:sz w:val="21"/>
                <w:szCs w:val="21"/>
              </w:rPr>
              <w:t>使用电话</w:t>
            </w:r>
          </w:p>
        </w:tc>
        <w:tc>
          <w:tcPr>
            <w:tcW w:w="2880" w:type="dxa"/>
          </w:tcPr>
          <w:p w14:paraId="269FDF46">
            <w:r>
              <w:rPr>
                <w:rFonts w:ascii="Times New Roman" w:hAnsi="Times New Roman" w:eastAsia="宋体"/>
                <w:color w:val="000000"/>
                <w:sz w:val="21"/>
                <w:szCs w:val="21"/>
              </w:rPr>
              <w:t>能独立使用电话=1分，不能=0分</w:t>
            </w:r>
          </w:p>
        </w:tc>
        <w:tc>
          <w:tcPr>
            <w:tcW w:w="2880" w:type="dxa"/>
          </w:tcPr>
          <w:p w14:paraId="3AA52C41">
            <w:r>
              <w:rPr>
                <w:rFonts w:ascii="Times New Roman" w:hAnsi="Times New Roman" w:eastAsia="宋体"/>
                <w:color w:val="000000"/>
                <w:sz w:val="21"/>
                <w:szCs w:val="21"/>
              </w:rPr>
              <w:t>____</w:t>
            </w:r>
          </w:p>
        </w:tc>
      </w:tr>
      <w:tr w14:paraId="29B80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0991064A">
            <w:r>
              <w:rPr>
                <w:rFonts w:ascii="Times New Roman" w:hAnsi="Times New Roman" w:eastAsia="宋体"/>
                <w:color w:val="000000"/>
                <w:sz w:val="21"/>
                <w:szCs w:val="21"/>
              </w:rPr>
              <w:t>购物</w:t>
            </w:r>
          </w:p>
        </w:tc>
        <w:tc>
          <w:tcPr>
            <w:tcW w:w="2880" w:type="dxa"/>
          </w:tcPr>
          <w:p w14:paraId="321B3756">
            <w:r>
              <w:rPr>
                <w:rFonts w:ascii="Times New Roman" w:hAnsi="Times New Roman" w:eastAsia="宋体"/>
                <w:color w:val="000000"/>
                <w:sz w:val="21"/>
                <w:szCs w:val="21"/>
              </w:rPr>
              <w:t>能独立购物=1分，不能=0分</w:t>
            </w:r>
          </w:p>
        </w:tc>
        <w:tc>
          <w:tcPr>
            <w:tcW w:w="2880" w:type="dxa"/>
          </w:tcPr>
          <w:p w14:paraId="6CB3CE6F">
            <w:r>
              <w:rPr>
                <w:rFonts w:ascii="Times New Roman" w:hAnsi="Times New Roman" w:eastAsia="宋体"/>
                <w:color w:val="000000"/>
                <w:sz w:val="21"/>
                <w:szCs w:val="21"/>
              </w:rPr>
              <w:t>____</w:t>
            </w:r>
          </w:p>
        </w:tc>
      </w:tr>
      <w:tr w14:paraId="197D3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17064B3C">
            <w:r>
              <w:rPr>
                <w:rFonts w:ascii="Times New Roman" w:hAnsi="Times New Roman" w:eastAsia="宋体"/>
                <w:color w:val="000000"/>
                <w:sz w:val="21"/>
                <w:szCs w:val="21"/>
              </w:rPr>
              <w:t>备餐</w:t>
            </w:r>
          </w:p>
        </w:tc>
        <w:tc>
          <w:tcPr>
            <w:tcW w:w="2880" w:type="dxa"/>
          </w:tcPr>
          <w:p w14:paraId="2DC46753">
            <w:r>
              <w:rPr>
                <w:rFonts w:ascii="Times New Roman" w:hAnsi="Times New Roman" w:eastAsia="宋体"/>
                <w:color w:val="000000"/>
                <w:sz w:val="21"/>
                <w:szCs w:val="21"/>
              </w:rPr>
              <w:t>能独立准备饭菜=1分，不能=0分</w:t>
            </w:r>
          </w:p>
        </w:tc>
        <w:tc>
          <w:tcPr>
            <w:tcW w:w="2880" w:type="dxa"/>
          </w:tcPr>
          <w:p w14:paraId="577FF5F2">
            <w:r>
              <w:rPr>
                <w:rFonts w:ascii="Times New Roman" w:hAnsi="Times New Roman" w:eastAsia="宋体"/>
                <w:color w:val="000000"/>
                <w:sz w:val="21"/>
                <w:szCs w:val="21"/>
              </w:rPr>
              <w:t>____</w:t>
            </w:r>
          </w:p>
        </w:tc>
      </w:tr>
      <w:tr w14:paraId="73A45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3AFAFE03">
            <w:r>
              <w:rPr>
                <w:rFonts w:ascii="Times New Roman" w:hAnsi="Times New Roman" w:eastAsia="宋体"/>
                <w:color w:val="000000"/>
                <w:sz w:val="21"/>
                <w:szCs w:val="21"/>
              </w:rPr>
              <w:t>家务维持</w:t>
            </w:r>
          </w:p>
        </w:tc>
        <w:tc>
          <w:tcPr>
            <w:tcW w:w="2880" w:type="dxa"/>
          </w:tcPr>
          <w:p w14:paraId="4F2230AA">
            <w:r>
              <w:rPr>
                <w:rFonts w:ascii="Times New Roman" w:hAnsi="Times New Roman" w:eastAsia="宋体"/>
                <w:color w:val="000000"/>
                <w:sz w:val="21"/>
                <w:szCs w:val="21"/>
              </w:rPr>
              <w:t>能独立完成简单家务=1分，不能=0分</w:t>
            </w:r>
          </w:p>
        </w:tc>
        <w:tc>
          <w:tcPr>
            <w:tcW w:w="2880" w:type="dxa"/>
          </w:tcPr>
          <w:p w14:paraId="4BD5D288">
            <w:r>
              <w:rPr>
                <w:rFonts w:ascii="Times New Roman" w:hAnsi="Times New Roman" w:eastAsia="宋体"/>
                <w:color w:val="000000"/>
                <w:sz w:val="21"/>
                <w:szCs w:val="21"/>
              </w:rPr>
              <w:t>____</w:t>
            </w:r>
          </w:p>
        </w:tc>
      </w:tr>
      <w:tr w14:paraId="36A92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D97B495">
            <w:r>
              <w:rPr>
                <w:rFonts w:ascii="Times New Roman" w:hAnsi="Times New Roman" w:eastAsia="宋体"/>
                <w:color w:val="000000"/>
                <w:sz w:val="21"/>
                <w:szCs w:val="21"/>
              </w:rPr>
              <w:t>洗衣</w:t>
            </w:r>
          </w:p>
        </w:tc>
        <w:tc>
          <w:tcPr>
            <w:tcW w:w="2880" w:type="dxa"/>
          </w:tcPr>
          <w:p w14:paraId="2ACA2AB9">
            <w:r>
              <w:rPr>
                <w:rFonts w:ascii="Times New Roman" w:hAnsi="Times New Roman" w:eastAsia="宋体"/>
                <w:color w:val="000000"/>
                <w:sz w:val="21"/>
                <w:szCs w:val="21"/>
              </w:rPr>
              <w:t>能独立洗衣=1分，不能=0分</w:t>
            </w:r>
          </w:p>
        </w:tc>
        <w:tc>
          <w:tcPr>
            <w:tcW w:w="2880" w:type="dxa"/>
          </w:tcPr>
          <w:p w14:paraId="68E69378">
            <w:r>
              <w:rPr>
                <w:rFonts w:ascii="Times New Roman" w:hAnsi="Times New Roman" w:eastAsia="宋体"/>
                <w:color w:val="000000"/>
                <w:sz w:val="21"/>
                <w:szCs w:val="21"/>
              </w:rPr>
              <w:t>____</w:t>
            </w:r>
          </w:p>
        </w:tc>
      </w:tr>
      <w:tr w14:paraId="116B3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403D3401">
            <w:r>
              <w:rPr>
                <w:rFonts w:ascii="Times New Roman" w:hAnsi="Times New Roman" w:eastAsia="宋体"/>
                <w:color w:val="000000"/>
                <w:sz w:val="21"/>
                <w:szCs w:val="21"/>
              </w:rPr>
              <w:t>交通方式</w:t>
            </w:r>
          </w:p>
        </w:tc>
        <w:tc>
          <w:tcPr>
            <w:tcW w:w="2880" w:type="dxa"/>
          </w:tcPr>
          <w:p w14:paraId="5D116058">
            <w:r>
              <w:rPr>
                <w:rFonts w:ascii="Times New Roman" w:hAnsi="Times New Roman" w:eastAsia="宋体"/>
                <w:color w:val="000000"/>
                <w:sz w:val="21"/>
                <w:szCs w:val="21"/>
              </w:rPr>
              <w:t>能独立乘坐交通工具或使用代步工具出行=1分，不能=0分</w:t>
            </w:r>
          </w:p>
        </w:tc>
        <w:tc>
          <w:tcPr>
            <w:tcW w:w="2880" w:type="dxa"/>
          </w:tcPr>
          <w:p w14:paraId="7C408544">
            <w:r>
              <w:rPr>
                <w:rFonts w:ascii="Times New Roman" w:hAnsi="Times New Roman" w:eastAsia="宋体"/>
                <w:color w:val="000000"/>
                <w:sz w:val="21"/>
                <w:szCs w:val="21"/>
              </w:rPr>
              <w:t>____</w:t>
            </w:r>
          </w:p>
        </w:tc>
      </w:tr>
      <w:tr w14:paraId="45531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09DC1E17">
            <w:r>
              <w:rPr>
                <w:rFonts w:ascii="Times New Roman" w:hAnsi="Times New Roman" w:eastAsia="宋体"/>
                <w:color w:val="000000"/>
                <w:sz w:val="21"/>
                <w:szCs w:val="21"/>
              </w:rPr>
              <w:t>服药管理</w:t>
            </w:r>
          </w:p>
        </w:tc>
        <w:tc>
          <w:tcPr>
            <w:tcW w:w="2880" w:type="dxa"/>
          </w:tcPr>
          <w:p w14:paraId="4A96DE9B">
            <w:r>
              <w:rPr>
                <w:rFonts w:ascii="Times New Roman" w:hAnsi="Times New Roman" w:eastAsia="宋体"/>
                <w:color w:val="000000"/>
                <w:sz w:val="21"/>
                <w:szCs w:val="21"/>
              </w:rPr>
              <w:t>能按时按量正确服药=1分，不能=0分</w:t>
            </w:r>
          </w:p>
        </w:tc>
        <w:tc>
          <w:tcPr>
            <w:tcW w:w="2880" w:type="dxa"/>
          </w:tcPr>
          <w:p w14:paraId="0D8381A6">
            <w:r>
              <w:rPr>
                <w:rFonts w:ascii="Times New Roman" w:hAnsi="Times New Roman" w:eastAsia="宋体"/>
                <w:color w:val="000000"/>
                <w:sz w:val="21"/>
                <w:szCs w:val="21"/>
              </w:rPr>
              <w:t>____</w:t>
            </w:r>
          </w:p>
        </w:tc>
      </w:tr>
      <w:tr w14:paraId="3A02C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286CD418">
            <w:r>
              <w:rPr>
                <w:rFonts w:ascii="Times New Roman" w:hAnsi="Times New Roman" w:eastAsia="宋体"/>
                <w:color w:val="000000"/>
                <w:sz w:val="21"/>
                <w:szCs w:val="21"/>
              </w:rPr>
              <w:t>处理财务</w:t>
            </w:r>
          </w:p>
        </w:tc>
        <w:tc>
          <w:tcPr>
            <w:tcW w:w="2880" w:type="dxa"/>
          </w:tcPr>
          <w:p w14:paraId="655F36C6">
            <w:r>
              <w:rPr>
                <w:rFonts w:ascii="Times New Roman" w:hAnsi="Times New Roman" w:eastAsia="宋体"/>
                <w:color w:val="000000"/>
                <w:sz w:val="21"/>
                <w:szCs w:val="21"/>
              </w:rPr>
              <w:t>能独立处理财务（如缴费、取款等）=1分，不能=0分</w:t>
            </w:r>
          </w:p>
        </w:tc>
        <w:tc>
          <w:tcPr>
            <w:tcW w:w="2880" w:type="dxa"/>
          </w:tcPr>
          <w:p w14:paraId="0CB97FAE">
            <w:r>
              <w:rPr>
                <w:rFonts w:ascii="Times New Roman" w:hAnsi="Times New Roman" w:eastAsia="宋体"/>
                <w:color w:val="000000"/>
                <w:sz w:val="21"/>
                <w:szCs w:val="21"/>
              </w:rPr>
              <w:t>____</w:t>
            </w:r>
          </w:p>
        </w:tc>
      </w:tr>
      <w:tr w14:paraId="37211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0183C820">
            <w:r>
              <w:rPr>
                <w:rFonts w:ascii="Times New Roman" w:hAnsi="Times New Roman" w:eastAsia="宋体"/>
                <w:color w:val="000000"/>
                <w:sz w:val="21"/>
                <w:szCs w:val="21"/>
              </w:rPr>
              <w:t>总分（0分～8分）</w:t>
            </w:r>
          </w:p>
        </w:tc>
        <w:tc>
          <w:tcPr>
            <w:tcW w:w="2880" w:type="dxa"/>
          </w:tcPr>
          <w:p w14:paraId="411FC833">
            <w:r>
              <w:rPr>
                <w:rFonts w:ascii="Times New Roman" w:hAnsi="Times New Roman" w:eastAsia="宋体"/>
                <w:color w:val="000000"/>
                <w:sz w:val="21"/>
                <w:szCs w:val="21"/>
              </w:rPr>
              <w:t>____分</w:t>
            </w:r>
          </w:p>
        </w:tc>
        <w:tc>
          <w:tcPr>
            <w:tcW w:w="2880" w:type="dxa"/>
          </w:tcPr>
          <w:p w14:paraId="4D015FB9">
            <w:r>
              <w:rPr>
                <w:rFonts w:ascii="Times New Roman" w:hAnsi="Times New Roman" w:eastAsia="宋体"/>
                <w:color w:val="000000"/>
                <w:sz w:val="21"/>
                <w:szCs w:val="21"/>
              </w:rPr>
              <w:t>____</w:t>
            </w:r>
          </w:p>
        </w:tc>
      </w:tr>
    </w:tbl>
    <w:p w14:paraId="332F839B">
      <w:pPr>
        <w:pStyle w:val="24"/>
        <w:pBdr>
          <w:top w:val="none" w:color="auto" w:sz="0" w:space="0"/>
          <w:left w:val="none" w:color="auto" w:sz="0" w:space="0"/>
          <w:bottom w:val="none" w:color="auto" w:sz="0" w:space="0"/>
          <w:right w:val="none" w:color="auto" w:sz="0" w:space="0"/>
        </w:pBdr>
      </w:pPr>
      <w:r>
        <w:t>评分说明：</w:t>
      </w:r>
    </w:p>
    <w:p w14:paraId="5F85B2FE">
      <w:pPr>
        <w:pStyle w:val="24"/>
        <w:pBdr>
          <w:top w:val="none" w:color="auto" w:sz="0" w:space="0"/>
          <w:left w:val="none" w:color="auto" w:sz="0" w:space="0"/>
          <w:bottom w:val="none" w:color="auto" w:sz="0" w:space="0"/>
          <w:right w:val="none" w:color="auto" w:sz="0" w:space="0"/>
        </w:pBdr>
      </w:pPr>
      <w:r>
        <w:rPr>
          <w:rFonts w:hint="eastAsia"/>
          <w:lang w:eastAsia="zh-CN"/>
        </w:rPr>
        <w:t>a）</w:t>
      </w:r>
      <w:r>
        <w:t>得分越高提示工具性日常生活能力越好；</w:t>
      </w:r>
    </w:p>
    <w:p w14:paraId="5B4E13BD">
      <w:pPr>
        <w:pStyle w:val="24"/>
        <w:pBdr>
          <w:top w:val="none" w:color="auto" w:sz="0" w:space="0"/>
          <w:left w:val="none" w:color="auto" w:sz="0" w:space="0"/>
          <w:bottom w:val="none" w:color="auto" w:sz="0" w:space="0"/>
          <w:right w:val="none" w:color="auto" w:sz="0" w:space="0"/>
        </w:pBdr>
      </w:pPr>
      <w:r>
        <w:rPr>
          <w:rFonts w:hint="eastAsia"/>
          <w:lang w:eastAsia="zh-CN"/>
        </w:rPr>
        <w:t>b）总分≤5分提示工具性日常生活活动能力明显下降，宜关注其独立生活安全性；</w:t>
      </w:r>
    </w:p>
    <w:p w14:paraId="6BB10BE6">
      <w:pPr>
        <w:pStyle w:val="24"/>
        <w:pBdr>
          <w:top w:val="none" w:color="auto" w:sz="0" w:space="0"/>
          <w:left w:val="none" w:color="auto" w:sz="0" w:space="0"/>
          <w:bottom w:val="none" w:color="auto" w:sz="0" w:space="0"/>
          <w:right w:val="none" w:color="auto" w:sz="0" w:space="0"/>
        </w:pBdr>
      </w:pPr>
      <w:r>
        <w:rPr>
          <w:rFonts w:hint="eastAsia"/>
          <w:lang w:eastAsia="zh-CN"/>
        </w:rPr>
        <w:t>c）评估时宜结合认知障碍者既往生活习惯和文化背景综合判断。</w:t>
      </w:r>
    </w:p>
    <w:p w14:paraId="7952FBC7">
      <w:pPr>
        <w:spacing w:line="360" w:lineRule="auto"/>
        <w:ind w:firstLine="420"/>
        <w:rPr>
          <w:rFonts w:ascii="宋体" w:hAnsi="宋体" w:eastAsia="宋体"/>
          <w:b w:val="0"/>
          <w:i w:val="0"/>
          <w:sz w:val="21"/>
          <w:szCs w:val="21"/>
        </w:rPr>
      </w:pPr>
      <w:r>
        <w:rPr>
          <w:rFonts w:ascii="Times New Roman" w:hAnsi="Times New Roman" w:eastAsia="宋体"/>
          <w:b w:val="0"/>
          <w:i w:val="0"/>
          <w:color w:val="000000"/>
          <w:sz w:val="24"/>
          <w:szCs w:val="24"/>
        </w:rPr>
        <w:br w:type="page"/>
      </w:r>
    </w:p>
    <w:p w14:paraId="05F13584">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bookmarkStart w:id="69" w:name="_Toc21779"/>
      <w:bookmarkStart w:id="70" w:name="_Toc19468"/>
      <w:r>
        <w:rPr>
          <w:rFonts w:hint="eastAsia"/>
          <w:lang w:val="en-US" w:eastAsia="zh-CN"/>
        </w:rPr>
        <w:t>附  录 H</w:t>
      </w:r>
      <w:bookmarkEnd w:id="69"/>
      <w:bookmarkEnd w:id="70"/>
    </w:p>
    <w:p w14:paraId="36BC6A34">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（资料性）</w:t>
      </w:r>
    </w:p>
    <w:p w14:paraId="5A775629">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功能活动问卷（FAQ）</w:t>
      </w:r>
    </w:p>
    <w:p w14:paraId="1812435B">
      <w:pPr>
        <w:pStyle w:val="24"/>
        <w:pBdr>
          <w:top w:val="none" w:color="auto" w:sz="0" w:space="0"/>
          <w:left w:val="none" w:color="auto" w:sz="0" w:space="0"/>
          <w:bottom w:val="none" w:color="auto" w:sz="0" w:space="0"/>
          <w:right w:val="none" w:color="auto" w:sz="0" w:space="0"/>
        </w:pBdr>
      </w:pPr>
      <w:r>
        <w:t>功能活动问卷（Functional Activities Questionnaire, FAQ）用于评估工具性日常生活功能，由知情者根据使用者近1个月的表现评定，共10个项目，总分0分～30分。</w:t>
      </w:r>
    </w:p>
    <w:p w14:paraId="43E545B1">
      <w:pPr>
        <w:jc w:val="center"/>
        <w:rPr>
          <w:rFonts w:hint="eastAsia" w:ascii="宋体" w:hAnsi="宋体" w:eastAsia="宋体" w:cs="宋体"/>
        </w:rPr>
      </w:pPr>
      <w:r>
        <w:rPr>
          <w:rFonts w:hint="eastAsia" w:ascii="宋体" w:hAnsi="宋体" w:eastAsia="宋体" w:cs="宋体"/>
          <w:b w:val="0"/>
          <w:bCs w:val="0"/>
          <w:color w:val="000000"/>
          <w:sz w:val="21"/>
          <w:szCs w:val="21"/>
        </w:rPr>
        <w:t>表H.1  FAQ评定项目及评分标准</w:t>
      </w: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80"/>
        <w:gridCol w:w="2880"/>
        <w:gridCol w:w="2880"/>
      </w:tblGrid>
      <w:tr w14:paraId="5D3DB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42CC6C2F">
            <w:pPr>
              <w:jc w:val="center"/>
            </w:pPr>
            <w:r>
              <w:rPr>
                <w:rFonts w:ascii="Times New Roman" w:hAnsi="Times New Roman" w:eastAsia="黑体"/>
                <w:color w:val="000000"/>
                <w:sz w:val="21"/>
                <w:szCs w:val="21"/>
              </w:rPr>
              <w:t>评估项目</w:t>
            </w:r>
          </w:p>
        </w:tc>
        <w:tc>
          <w:tcPr>
            <w:tcW w:w="2880" w:type="dxa"/>
          </w:tcPr>
          <w:p w14:paraId="48FFD760">
            <w:pPr>
              <w:jc w:val="center"/>
            </w:pPr>
            <w:r>
              <w:rPr>
                <w:rFonts w:ascii="Times New Roman" w:hAnsi="Times New Roman" w:eastAsia="黑体"/>
                <w:color w:val="000000"/>
                <w:sz w:val="21"/>
                <w:szCs w:val="21"/>
              </w:rPr>
              <w:t>评分标准</w:t>
            </w:r>
          </w:p>
        </w:tc>
        <w:tc>
          <w:tcPr>
            <w:tcW w:w="2880" w:type="dxa"/>
          </w:tcPr>
          <w:p w14:paraId="672ECC9D">
            <w:pPr>
              <w:jc w:val="center"/>
            </w:pPr>
            <w:r>
              <w:rPr>
                <w:rFonts w:ascii="Times New Roman" w:hAnsi="Times New Roman" w:eastAsia="黑体"/>
                <w:color w:val="000000"/>
                <w:sz w:val="21"/>
                <w:szCs w:val="21"/>
              </w:rPr>
              <w:t>得分</w:t>
            </w:r>
          </w:p>
        </w:tc>
      </w:tr>
      <w:tr w14:paraId="6B8A6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49A15450">
            <w:r>
              <w:rPr>
                <w:rFonts w:ascii="Times New Roman" w:hAnsi="Times New Roman" w:eastAsia="宋体"/>
                <w:color w:val="000000"/>
                <w:sz w:val="21"/>
                <w:szCs w:val="21"/>
              </w:rPr>
              <w:t>填写支票、缴费或处理票据</w:t>
            </w:r>
          </w:p>
        </w:tc>
        <w:tc>
          <w:tcPr>
            <w:tcW w:w="2880" w:type="dxa"/>
          </w:tcPr>
          <w:p w14:paraId="08B3DF69">
            <w:r>
              <w:rPr>
                <w:rFonts w:ascii="Times New Roman" w:hAnsi="Times New Roman" w:eastAsia="宋体"/>
                <w:color w:val="000000"/>
                <w:sz w:val="21"/>
                <w:szCs w:val="21"/>
              </w:rPr>
              <w:t>0分：正常；1分：偶尔有困难；2分：经常有困难；3分：完全不能做</w:t>
            </w:r>
          </w:p>
        </w:tc>
        <w:tc>
          <w:tcPr>
            <w:tcW w:w="2880" w:type="dxa"/>
          </w:tcPr>
          <w:p w14:paraId="4CDA0DAD">
            <w:r>
              <w:rPr>
                <w:rFonts w:ascii="Times New Roman" w:hAnsi="Times New Roman" w:eastAsia="宋体"/>
                <w:color w:val="000000"/>
                <w:sz w:val="21"/>
                <w:szCs w:val="21"/>
              </w:rPr>
              <w:t>____</w:t>
            </w:r>
          </w:p>
        </w:tc>
      </w:tr>
      <w:tr w14:paraId="19468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15D18598">
            <w:r>
              <w:rPr>
                <w:rFonts w:ascii="Times New Roman" w:hAnsi="Times New Roman" w:eastAsia="宋体"/>
                <w:color w:val="000000"/>
                <w:sz w:val="21"/>
                <w:szCs w:val="21"/>
              </w:rPr>
              <w:t>整理税表、账单或票据</w:t>
            </w:r>
          </w:p>
        </w:tc>
        <w:tc>
          <w:tcPr>
            <w:tcW w:w="2880" w:type="dxa"/>
          </w:tcPr>
          <w:p w14:paraId="6A609ED5">
            <w:r>
              <w:rPr>
                <w:rFonts w:ascii="Times New Roman" w:hAnsi="Times New Roman" w:eastAsia="宋体"/>
                <w:color w:val="000000"/>
                <w:sz w:val="21"/>
                <w:szCs w:val="21"/>
              </w:rPr>
              <w:t>0分：正常；1分：偶尔有困难；2分：经常有困难；3分：完全不能做</w:t>
            </w:r>
          </w:p>
        </w:tc>
        <w:tc>
          <w:tcPr>
            <w:tcW w:w="2880" w:type="dxa"/>
          </w:tcPr>
          <w:p w14:paraId="1361DA6D">
            <w:r>
              <w:rPr>
                <w:rFonts w:ascii="Times New Roman" w:hAnsi="Times New Roman" w:eastAsia="宋体"/>
                <w:color w:val="000000"/>
                <w:sz w:val="21"/>
                <w:szCs w:val="21"/>
              </w:rPr>
              <w:t>____</w:t>
            </w:r>
          </w:p>
        </w:tc>
      </w:tr>
      <w:tr w14:paraId="762F5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1C7D75F1">
            <w:r>
              <w:rPr>
                <w:rFonts w:ascii="Times New Roman" w:hAnsi="Times New Roman" w:eastAsia="宋体"/>
                <w:color w:val="000000"/>
                <w:sz w:val="21"/>
                <w:szCs w:val="21"/>
              </w:rPr>
              <w:t>独自购物（列出购物清单、购买生活用品）</w:t>
            </w:r>
          </w:p>
        </w:tc>
        <w:tc>
          <w:tcPr>
            <w:tcW w:w="2880" w:type="dxa"/>
          </w:tcPr>
          <w:p w14:paraId="0991A972">
            <w:r>
              <w:rPr>
                <w:rFonts w:ascii="Times New Roman" w:hAnsi="Times New Roman" w:eastAsia="宋体"/>
                <w:color w:val="000000"/>
                <w:sz w:val="21"/>
                <w:szCs w:val="21"/>
              </w:rPr>
              <w:t>0分：正常；1分：偶尔有困难；2分：经常有困难；3分：完全不能做</w:t>
            </w:r>
          </w:p>
        </w:tc>
        <w:tc>
          <w:tcPr>
            <w:tcW w:w="2880" w:type="dxa"/>
          </w:tcPr>
          <w:p w14:paraId="2E9FC50B">
            <w:r>
              <w:rPr>
                <w:rFonts w:ascii="Times New Roman" w:hAnsi="Times New Roman" w:eastAsia="宋体"/>
                <w:color w:val="000000"/>
                <w:sz w:val="21"/>
                <w:szCs w:val="21"/>
              </w:rPr>
              <w:t>____</w:t>
            </w:r>
          </w:p>
        </w:tc>
      </w:tr>
      <w:tr w14:paraId="0DFF7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5F58829">
            <w:r>
              <w:rPr>
                <w:rFonts w:ascii="Times New Roman" w:hAnsi="Times New Roman" w:eastAsia="宋体"/>
                <w:color w:val="000000"/>
                <w:sz w:val="21"/>
                <w:szCs w:val="21"/>
              </w:rPr>
              <w:t>玩技巧性游戏（如麻将、扑克、象棋等）</w:t>
            </w:r>
          </w:p>
        </w:tc>
        <w:tc>
          <w:tcPr>
            <w:tcW w:w="2880" w:type="dxa"/>
          </w:tcPr>
          <w:p w14:paraId="3815AD0E">
            <w:r>
              <w:rPr>
                <w:rFonts w:ascii="Times New Roman" w:hAnsi="Times New Roman" w:eastAsia="宋体"/>
                <w:color w:val="000000"/>
                <w:sz w:val="21"/>
                <w:szCs w:val="21"/>
              </w:rPr>
              <w:t>0分：正常；1分：偶尔有困难；2分：经常有困难；3分：完全不能做</w:t>
            </w:r>
          </w:p>
        </w:tc>
        <w:tc>
          <w:tcPr>
            <w:tcW w:w="2880" w:type="dxa"/>
          </w:tcPr>
          <w:p w14:paraId="165B0E42">
            <w:r>
              <w:rPr>
                <w:rFonts w:ascii="Times New Roman" w:hAnsi="Times New Roman" w:eastAsia="宋体"/>
                <w:color w:val="000000"/>
                <w:sz w:val="21"/>
                <w:szCs w:val="21"/>
              </w:rPr>
              <w:t>____</w:t>
            </w:r>
          </w:p>
        </w:tc>
      </w:tr>
      <w:tr w14:paraId="4762A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0D6ACBA9">
            <w:r>
              <w:rPr>
                <w:rFonts w:ascii="Times New Roman" w:hAnsi="Times New Roman" w:eastAsia="宋体"/>
                <w:color w:val="000000"/>
                <w:sz w:val="21"/>
                <w:szCs w:val="21"/>
              </w:rPr>
              <w:t>烧水泡茶或冲咖啡等热饮</w:t>
            </w:r>
          </w:p>
        </w:tc>
        <w:tc>
          <w:tcPr>
            <w:tcW w:w="2880" w:type="dxa"/>
          </w:tcPr>
          <w:p w14:paraId="57470BA4">
            <w:r>
              <w:rPr>
                <w:rFonts w:ascii="Times New Roman" w:hAnsi="Times New Roman" w:eastAsia="宋体"/>
                <w:color w:val="000000"/>
                <w:sz w:val="21"/>
                <w:szCs w:val="21"/>
              </w:rPr>
              <w:t>0分：正常；1分：偶尔有困难；2分：经常有困难；3分：完全不能做</w:t>
            </w:r>
          </w:p>
        </w:tc>
        <w:tc>
          <w:tcPr>
            <w:tcW w:w="2880" w:type="dxa"/>
          </w:tcPr>
          <w:p w14:paraId="4DE9E03F">
            <w:r>
              <w:rPr>
                <w:rFonts w:ascii="Times New Roman" w:hAnsi="Times New Roman" w:eastAsia="宋体"/>
                <w:color w:val="000000"/>
                <w:sz w:val="21"/>
                <w:szCs w:val="21"/>
              </w:rPr>
              <w:t>____</w:t>
            </w:r>
          </w:p>
        </w:tc>
      </w:tr>
      <w:tr w14:paraId="38BFE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49CAAF47">
            <w:r>
              <w:rPr>
                <w:rFonts w:ascii="Times New Roman" w:hAnsi="Times New Roman" w:eastAsia="宋体"/>
                <w:color w:val="000000"/>
                <w:sz w:val="21"/>
                <w:szCs w:val="21"/>
              </w:rPr>
              <w:t>准备饭菜（买菜、做饭、摆餐具）</w:t>
            </w:r>
          </w:p>
        </w:tc>
        <w:tc>
          <w:tcPr>
            <w:tcW w:w="2880" w:type="dxa"/>
          </w:tcPr>
          <w:p w14:paraId="59551A8C">
            <w:r>
              <w:rPr>
                <w:rFonts w:ascii="Times New Roman" w:hAnsi="Times New Roman" w:eastAsia="宋体"/>
                <w:color w:val="000000"/>
                <w:sz w:val="21"/>
                <w:szCs w:val="21"/>
              </w:rPr>
              <w:t>0分：正常；1分：偶尔有困难；2分：经常有困难；3分：完全不能做</w:t>
            </w:r>
          </w:p>
        </w:tc>
        <w:tc>
          <w:tcPr>
            <w:tcW w:w="2880" w:type="dxa"/>
          </w:tcPr>
          <w:p w14:paraId="0C0A7368">
            <w:r>
              <w:rPr>
                <w:rFonts w:ascii="Times New Roman" w:hAnsi="Times New Roman" w:eastAsia="宋体"/>
                <w:color w:val="000000"/>
                <w:sz w:val="21"/>
                <w:szCs w:val="21"/>
              </w:rPr>
              <w:t>____</w:t>
            </w:r>
          </w:p>
        </w:tc>
      </w:tr>
      <w:tr w14:paraId="67F42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065C8A46">
            <w:r>
              <w:rPr>
                <w:rFonts w:ascii="Times New Roman" w:hAnsi="Times New Roman" w:eastAsia="宋体"/>
                <w:color w:val="000000"/>
                <w:sz w:val="21"/>
                <w:szCs w:val="21"/>
              </w:rPr>
              <w:t>了解时事（看电视、读报纸获取新闻）</w:t>
            </w:r>
          </w:p>
        </w:tc>
        <w:tc>
          <w:tcPr>
            <w:tcW w:w="2880" w:type="dxa"/>
          </w:tcPr>
          <w:p w14:paraId="491B98FE">
            <w:r>
              <w:rPr>
                <w:rFonts w:ascii="Times New Roman" w:hAnsi="Times New Roman" w:eastAsia="宋体"/>
                <w:color w:val="000000"/>
                <w:sz w:val="21"/>
                <w:szCs w:val="21"/>
              </w:rPr>
              <w:t>0分：正常；1分：偶尔有困难；2分：经常有困难；3分：完全不能做</w:t>
            </w:r>
          </w:p>
        </w:tc>
        <w:tc>
          <w:tcPr>
            <w:tcW w:w="2880" w:type="dxa"/>
          </w:tcPr>
          <w:p w14:paraId="2E7F3AB6">
            <w:r>
              <w:rPr>
                <w:rFonts w:ascii="Times New Roman" w:hAnsi="Times New Roman" w:eastAsia="宋体"/>
                <w:color w:val="000000"/>
                <w:sz w:val="21"/>
                <w:szCs w:val="21"/>
              </w:rPr>
              <w:t>____</w:t>
            </w:r>
          </w:p>
        </w:tc>
      </w:tr>
      <w:tr w14:paraId="00291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5EADA172">
            <w:r>
              <w:rPr>
                <w:rFonts w:ascii="Times New Roman" w:hAnsi="Times New Roman" w:eastAsia="宋体"/>
                <w:color w:val="000000"/>
                <w:sz w:val="21"/>
                <w:szCs w:val="21"/>
              </w:rPr>
              <w:t>关注并讨论电视、书籍或杂志内容</w:t>
            </w:r>
          </w:p>
        </w:tc>
        <w:tc>
          <w:tcPr>
            <w:tcW w:w="2880" w:type="dxa"/>
          </w:tcPr>
          <w:p w14:paraId="3E3FD037">
            <w:r>
              <w:rPr>
                <w:rFonts w:ascii="Times New Roman" w:hAnsi="Times New Roman" w:eastAsia="宋体"/>
                <w:color w:val="000000"/>
                <w:sz w:val="21"/>
                <w:szCs w:val="21"/>
              </w:rPr>
              <w:t>0分：正常；1分：偶尔有困难；2分：经常有困难；3分：完全不能做</w:t>
            </w:r>
          </w:p>
        </w:tc>
        <w:tc>
          <w:tcPr>
            <w:tcW w:w="2880" w:type="dxa"/>
          </w:tcPr>
          <w:p w14:paraId="11C2CAE3">
            <w:r>
              <w:rPr>
                <w:rFonts w:ascii="Times New Roman" w:hAnsi="Times New Roman" w:eastAsia="宋体"/>
                <w:color w:val="000000"/>
                <w:sz w:val="21"/>
                <w:szCs w:val="21"/>
              </w:rPr>
              <w:t>____</w:t>
            </w:r>
          </w:p>
        </w:tc>
      </w:tr>
      <w:tr w14:paraId="5ABFD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00374ADA">
            <w:r>
              <w:rPr>
                <w:rFonts w:ascii="Times New Roman" w:hAnsi="Times New Roman" w:eastAsia="宋体"/>
                <w:color w:val="000000"/>
                <w:sz w:val="21"/>
                <w:szCs w:val="21"/>
              </w:rPr>
              <w:t>记住约会、节日、家庭活动或重要日期</w:t>
            </w:r>
          </w:p>
        </w:tc>
        <w:tc>
          <w:tcPr>
            <w:tcW w:w="2880" w:type="dxa"/>
          </w:tcPr>
          <w:p w14:paraId="5A0817F6">
            <w:r>
              <w:rPr>
                <w:rFonts w:ascii="Times New Roman" w:hAnsi="Times New Roman" w:eastAsia="宋体"/>
                <w:color w:val="000000"/>
                <w:sz w:val="21"/>
                <w:szCs w:val="21"/>
              </w:rPr>
              <w:t>0分：正常；1分：偶尔有困难；2分：经常有困难；3分：完全不能做</w:t>
            </w:r>
          </w:p>
        </w:tc>
        <w:tc>
          <w:tcPr>
            <w:tcW w:w="2880" w:type="dxa"/>
          </w:tcPr>
          <w:p w14:paraId="1292B8B5">
            <w:r>
              <w:rPr>
                <w:rFonts w:ascii="Times New Roman" w:hAnsi="Times New Roman" w:eastAsia="宋体"/>
                <w:color w:val="000000"/>
                <w:sz w:val="21"/>
                <w:szCs w:val="21"/>
              </w:rPr>
              <w:t>____</w:t>
            </w:r>
          </w:p>
        </w:tc>
      </w:tr>
      <w:tr w14:paraId="738D2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3D4D05B7">
            <w:r>
              <w:rPr>
                <w:rFonts w:ascii="Times New Roman" w:hAnsi="Times New Roman" w:eastAsia="宋体"/>
                <w:color w:val="000000"/>
                <w:sz w:val="21"/>
                <w:szCs w:val="21"/>
              </w:rPr>
              <w:t>自行外出（乘车、认路、安全往返）</w:t>
            </w:r>
          </w:p>
        </w:tc>
        <w:tc>
          <w:tcPr>
            <w:tcW w:w="2880" w:type="dxa"/>
          </w:tcPr>
          <w:p w14:paraId="5814CFCA">
            <w:r>
              <w:rPr>
                <w:rFonts w:ascii="Times New Roman" w:hAnsi="Times New Roman" w:eastAsia="宋体"/>
                <w:color w:val="000000"/>
                <w:sz w:val="21"/>
                <w:szCs w:val="21"/>
              </w:rPr>
              <w:t>0分：正常；1分：偶尔有困难；2分：经常有困难；3分：完全不能做</w:t>
            </w:r>
          </w:p>
        </w:tc>
        <w:tc>
          <w:tcPr>
            <w:tcW w:w="2880" w:type="dxa"/>
          </w:tcPr>
          <w:p w14:paraId="51171975">
            <w:r>
              <w:rPr>
                <w:rFonts w:ascii="Times New Roman" w:hAnsi="Times New Roman" w:eastAsia="宋体"/>
                <w:color w:val="000000"/>
                <w:sz w:val="21"/>
                <w:szCs w:val="21"/>
              </w:rPr>
              <w:t>____</w:t>
            </w:r>
          </w:p>
        </w:tc>
      </w:tr>
      <w:tr w14:paraId="20567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2659D13C">
            <w:r>
              <w:rPr>
                <w:rFonts w:ascii="Times New Roman" w:hAnsi="Times New Roman" w:eastAsia="宋体"/>
                <w:color w:val="000000"/>
                <w:sz w:val="21"/>
                <w:szCs w:val="21"/>
              </w:rPr>
              <w:t>总分（0分～30分）</w:t>
            </w:r>
          </w:p>
        </w:tc>
        <w:tc>
          <w:tcPr>
            <w:tcW w:w="2880" w:type="dxa"/>
          </w:tcPr>
          <w:p w14:paraId="572FA05E">
            <w:r>
              <w:rPr>
                <w:rFonts w:ascii="Times New Roman" w:hAnsi="Times New Roman" w:eastAsia="宋体"/>
                <w:color w:val="000000"/>
                <w:sz w:val="21"/>
                <w:szCs w:val="21"/>
              </w:rPr>
              <w:t>____分（不适用项目记N/A，不计入总分）</w:t>
            </w:r>
          </w:p>
        </w:tc>
        <w:tc>
          <w:tcPr>
            <w:tcW w:w="2880" w:type="dxa"/>
          </w:tcPr>
          <w:p w14:paraId="3CE34672">
            <w:r>
              <w:rPr>
                <w:rFonts w:ascii="Times New Roman" w:hAnsi="Times New Roman" w:eastAsia="宋体"/>
                <w:color w:val="000000"/>
                <w:sz w:val="21"/>
                <w:szCs w:val="21"/>
              </w:rPr>
              <w:t>____</w:t>
            </w:r>
          </w:p>
        </w:tc>
      </w:tr>
    </w:tbl>
    <w:p w14:paraId="246840EA">
      <w:pPr>
        <w:pStyle w:val="24"/>
        <w:pBdr>
          <w:top w:val="none" w:color="auto" w:sz="0" w:space="0"/>
          <w:left w:val="none" w:color="auto" w:sz="0" w:space="0"/>
          <w:bottom w:val="none" w:color="auto" w:sz="0" w:space="0"/>
          <w:right w:val="none" w:color="auto" w:sz="0" w:space="0"/>
        </w:pBdr>
      </w:pPr>
      <w:r>
        <w:t>评分说明：</w:t>
      </w:r>
    </w:p>
    <w:p w14:paraId="597DBC3A">
      <w:pPr>
        <w:pStyle w:val="24"/>
        <w:pBdr>
          <w:top w:val="none" w:color="auto" w:sz="0" w:space="0"/>
          <w:left w:val="none" w:color="auto" w:sz="0" w:space="0"/>
          <w:bottom w:val="none" w:color="auto" w:sz="0" w:space="0"/>
          <w:right w:val="none" w:color="auto" w:sz="0" w:space="0"/>
        </w:pBdr>
      </w:pPr>
      <w:r>
        <w:rPr>
          <w:rFonts w:hint="eastAsia"/>
          <w:lang w:eastAsia="zh-CN"/>
        </w:rPr>
        <w:t>a）</w:t>
      </w:r>
      <w:r>
        <w:t>由熟悉</w:t>
      </w:r>
      <w:r>
        <w:rPr>
          <w:rFonts w:hint="eastAsia"/>
          <w:lang w:val="en-US" w:eastAsia="zh-CN"/>
        </w:rPr>
        <w:t>认知障碍者</w:t>
      </w:r>
      <w:r>
        <w:t>情况的照护者或家属根据近1个月的表现评定；</w:t>
      </w:r>
    </w:p>
    <w:p w14:paraId="285F090E">
      <w:pPr>
        <w:pStyle w:val="24"/>
        <w:pBdr>
          <w:top w:val="none" w:color="auto" w:sz="0" w:space="0"/>
          <w:left w:val="none" w:color="auto" w:sz="0" w:space="0"/>
          <w:bottom w:val="none" w:color="auto" w:sz="0" w:space="0"/>
          <w:right w:val="none" w:color="auto" w:sz="0" w:space="0"/>
        </w:pBdr>
      </w:pPr>
      <w:r>
        <w:rPr>
          <w:rFonts w:hint="eastAsia"/>
          <w:lang w:eastAsia="zh-CN"/>
        </w:rPr>
        <w:t>b）</w:t>
      </w:r>
      <w:r>
        <w:t>总分≥9分提示存在工具性日常生活功能损害；</w:t>
      </w:r>
    </w:p>
    <w:p w14:paraId="050A36C8">
      <w:pPr>
        <w:pStyle w:val="24"/>
        <w:pBdr>
          <w:top w:val="none" w:color="auto" w:sz="0" w:space="0"/>
          <w:left w:val="none" w:color="auto" w:sz="0" w:space="0"/>
          <w:bottom w:val="none" w:color="auto" w:sz="0" w:space="0"/>
          <w:right w:val="none" w:color="auto" w:sz="0" w:space="0"/>
        </w:pBdr>
      </w:pPr>
      <w:r>
        <w:rPr>
          <w:rFonts w:hint="eastAsia"/>
          <w:lang w:eastAsia="zh-CN"/>
        </w:rPr>
        <w:t>c）</w:t>
      </w:r>
      <w:r>
        <w:t>该问卷对早期认知功能下降较敏感，可作为认知障碍的辅助筛查指标。</w:t>
      </w:r>
    </w:p>
    <w:p w14:paraId="5F00F316">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ascii="Times New Roman" w:hAnsi="Times New Roman" w:eastAsia="宋体"/>
          <w:b w:val="0"/>
          <w:i w:val="0"/>
          <w:color w:val="000000"/>
          <w:sz w:val="24"/>
          <w:szCs w:val="24"/>
        </w:rPr>
        <w:br w:type="page"/>
      </w:r>
      <w:bookmarkStart w:id="71" w:name="_Toc25000"/>
      <w:bookmarkStart w:id="72" w:name="_Toc8122"/>
      <w:r>
        <w:rPr>
          <w:rFonts w:hint="eastAsia"/>
          <w:lang w:val="en-US" w:eastAsia="zh-CN"/>
        </w:rPr>
        <w:t>附  录 I</w:t>
      </w:r>
      <w:bookmarkEnd w:id="71"/>
      <w:bookmarkEnd w:id="72"/>
    </w:p>
    <w:p w14:paraId="28542B43">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（资料性）</w:t>
      </w:r>
    </w:p>
    <w:p w14:paraId="332E5467">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神经精神问卷（NPI）</w:t>
      </w:r>
    </w:p>
    <w:p w14:paraId="6E9FCDC4">
      <w:pPr>
        <w:pStyle w:val="24"/>
        <w:pBdr>
          <w:top w:val="none" w:color="auto" w:sz="0" w:space="0"/>
          <w:left w:val="none" w:color="auto" w:sz="0" w:space="0"/>
          <w:bottom w:val="none" w:color="auto" w:sz="0" w:space="0"/>
          <w:right w:val="none" w:color="auto" w:sz="0" w:space="0"/>
        </w:pBdr>
      </w:pPr>
      <w:r>
        <w:t>神经精神问卷（Neuropsychiatric Inventory, NPI）用于评估认知障碍相关精神行为症状，共12个项目，每项得分=频率评分×严重程度评分，总分0分～144分。</w:t>
      </w:r>
    </w:p>
    <w:p w14:paraId="6407CF72">
      <w:pPr>
        <w:jc w:val="center"/>
      </w:pPr>
      <w:r>
        <w:rPr>
          <w:rFonts w:ascii="Times New Roman" w:hAnsi="Times New Roman" w:eastAsia="黑体"/>
          <w:b w:val="0"/>
          <w:bCs w:val="0"/>
          <w:color w:val="000000"/>
          <w:sz w:val="21"/>
          <w:szCs w:val="21"/>
        </w:rPr>
        <w:t>表I.1  NPI评定项目及评分标准</w:t>
      </w: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80"/>
        <w:gridCol w:w="2880"/>
        <w:gridCol w:w="2880"/>
      </w:tblGrid>
      <w:tr w14:paraId="109C3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BE63E3C">
            <w:pPr>
              <w:jc w:val="center"/>
            </w:pPr>
            <w:r>
              <w:rPr>
                <w:rFonts w:ascii="Times New Roman" w:hAnsi="Times New Roman" w:eastAsia="黑体"/>
                <w:color w:val="000000"/>
                <w:sz w:val="21"/>
                <w:szCs w:val="21"/>
              </w:rPr>
              <w:t>评估项目</w:t>
            </w:r>
          </w:p>
        </w:tc>
        <w:tc>
          <w:tcPr>
            <w:tcW w:w="2880" w:type="dxa"/>
          </w:tcPr>
          <w:p w14:paraId="78D75260">
            <w:pPr>
              <w:jc w:val="center"/>
            </w:pPr>
            <w:r>
              <w:rPr>
                <w:rFonts w:ascii="Times New Roman" w:hAnsi="Times New Roman" w:eastAsia="黑体"/>
                <w:color w:val="000000"/>
                <w:sz w:val="21"/>
                <w:szCs w:val="21"/>
              </w:rPr>
              <w:t>评分标准</w:t>
            </w:r>
          </w:p>
        </w:tc>
        <w:tc>
          <w:tcPr>
            <w:tcW w:w="2880" w:type="dxa"/>
          </w:tcPr>
          <w:p w14:paraId="66357836">
            <w:pPr>
              <w:jc w:val="center"/>
            </w:pPr>
            <w:r>
              <w:rPr>
                <w:rFonts w:ascii="Times New Roman" w:hAnsi="Times New Roman" w:eastAsia="黑体"/>
                <w:color w:val="000000"/>
                <w:sz w:val="21"/>
                <w:szCs w:val="21"/>
              </w:rPr>
              <w:t>得分</w:t>
            </w:r>
          </w:p>
        </w:tc>
      </w:tr>
      <w:tr w14:paraId="41BAF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942F19E">
            <w:r>
              <w:rPr>
                <w:rFonts w:ascii="Times New Roman" w:hAnsi="Times New Roman" w:eastAsia="宋体"/>
                <w:color w:val="000000"/>
                <w:sz w:val="21"/>
                <w:szCs w:val="21"/>
              </w:rPr>
              <w:t>妄想</w:t>
            </w:r>
          </w:p>
        </w:tc>
        <w:tc>
          <w:tcPr>
            <w:tcW w:w="2880" w:type="dxa"/>
          </w:tcPr>
          <w:p w14:paraId="51B60C4E">
            <w:r>
              <w:rPr>
                <w:rFonts w:ascii="Times New Roman" w:hAnsi="Times New Roman" w:eastAsia="宋体"/>
                <w:color w:val="000000"/>
                <w:sz w:val="21"/>
                <w:szCs w:val="21"/>
              </w:rPr>
              <w:t>有：频率（1分偶尔～4分非常频繁）×严重程度（1分轻度～3分重度）；无=0分</w:t>
            </w:r>
          </w:p>
        </w:tc>
        <w:tc>
          <w:tcPr>
            <w:tcW w:w="2880" w:type="dxa"/>
          </w:tcPr>
          <w:p w14:paraId="340AC333">
            <w:r>
              <w:rPr>
                <w:rFonts w:ascii="Times New Roman" w:hAnsi="Times New Roman" w:eastAsia="宋体"/>
                <w:color w:val="000000"/>
                <w:sz w:val="21"/>
                <w:szCs w:val="21"/>
              </w:rPr>
              <w:t>____</w:t>
            </w:r>
          </w:p>
        </w:tc>
      </w:tr>
      <w:tr w14:paraId="6420F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27D2606C">
            <w:r>
              <w:rPr>
                <w:rFonts w:ascii="Times New Roman" w:hAnsi="Times New Roman" w:eastAsia="宋体"/>
                <w:color w:val="000000"/>
                <w:sz w:val="21"/>
                <w:szCs w:val="21"/>
              </w:rPr>
              <w:t>幻觉</w:t>
            </w:r>
          </w:p>
        </w:tc>
        <w:tc>
          <w:tcPr>
            <w:tcW w:w="2880" w:type="dxa"/>
          </w:tcPr>
          <w:p w14:paraId="0DC22AD9">
            <w:r>
              <w:rPr>
                <w:rFonts w:ascii="Times New Roman" w:hAnsi="Times New Roman" w:eastAsia="宋体"/>
                <w:color w:val="000000"/>
                <w:sz w:val="21"/>
                <w:szCs w:val="21"/>
              </w:rPr>
              <w:t>有：频率（1分偶尔～4分非常频繁）×严重程度（1分轻度～3分重度）；无=0分</w:t>
            </w:r>
          </w:p>
        </w:tc>
        <w:tc>
          <w:tcPr>
            <w:tcW w:w="2880" w:type="dxa"/>
          </w:tcPr>
          <w:p w14:paraId="78010D68">
            <w:r>
              <w:rPr>
                <w:rFonts w:ascii="Times New Roman" w:hAnsi="Times New Roman" w:eastAsia="宋体"/>
                <w:color w:val="000000"/>
                <w:sz w:val="21"/>
                <w:szCs w:val="21"/>
              </w:rPr>
              <w:t>____</w:t>
            </w:r>
          </w:p>
        </w:tc>
      </w:tr>
      <w:tr w14:paraId="11C13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01058E46">
            <w:r>
              <w:rPr>
                <w:rFonts w:ascii="Times New Roman" w:hAnsi="Times New Roman" w:eastAsia="宋体"/>
                <w:color w:val="000000"/>
                <w:sz w:val="21"/>
                <w:szCs w:val="21"/>
              </w:rPr>
              <w:t>激越/攻击行为</w:t>
            </w:r>
          </w:p>
        </w:tc>
        <w:tc>
          <w:tcPr>
            <w:tcW w:w="2880" w:type="dxa"/>
          </w:tcPr>
          <w:p w14:paraId="7763D2EF">
            <w:r>
              <w:rPr>
                <w:rFonts w:ascii="Times New Roman" w:hAnsi="Times New Roman" w:eastAsia="宋体"/>
                <w:color w:val="000000"/>
                <w:sz w:val="21"/>
                <w:szCs w:val="21"/>
              </w:rPr>
              <w:t>有：频率（1分偶尔～4分非常频繁）×严重程度（1分轻度～3分重度）；无=0分</w:t>
            </w:r>
          </w:p>
        </w:tc>
        <w:tc>
          <w:tcPr>
            <w:tcW w:w="2880" w:type="dxa"/>
          </w:tcPr>
          <w:p w14:paraId="57D39310">
            <w:r>
              <w:rPr>
                <w:rFonts w:ascii="Times New Roman" w:hAnsi="Times New Roman" w:eastAsia="宋体"/>
                <w:color w:val="000000"/>
                <w:sz w:val="21"/>
                <w:szCs w:val="21"/>
              </w:rPr>
              <w:t>____</w:t>
            </w:r>
          </w:p>
        </w:tc>
      </w:tr>
      <w:tr w14:paraId="07D14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09AB84F1">
            <w:r>
              <w:rPr>
                <w:rFonts w:ascii="Times New Roman" w:hAnsi="Times New Roman" w:eastAsia="宋体"/>
                <w:color w:val="000000"/>
                <w:sz w:val="21"/>
                <w:szCs w:val="21"/>
              </w:rPr>
              <w:t>抑郁/心境恶劣</w:t>
            </w:r>
          </w:p>
        </w:tc>
        <w:tc>
          <w:tcPr>
            <w:tcW w:w="2880" w:type="dxa"/>
          </w:tcPr>
          <w:p w14:paraId="15F17FE0">
            <w:r>
              <w:rPr>
                <w:rFonts w:ascii="Times New Roman" w:hAnsi="Times New Roman" w:eastAsia="宋体"/>
                <w:color w:val="000000"/>
                <w:sz w:val="21"/>
                <w:szCs w:val="21"/>
              </w:rPr>
              <w:t>有：频率（1分偶尔～4分非常频繁）×严重程度（1分轻度～3分重度）；无=0分</w:t>
            </w:r>
          </w:p>
        </w:tc>
        <w:tc>
          <w:tcPr>
            <w:tcW w:w="2880" w:type="dxa"/>
          </w:tcPr>
          <w:p w14:paraId="00815462">
            <w:r>
              <w:rPr>
                <w:rFonts w:ascii="Times New Roman" w:hAnsi="Times New Roman" w:eastAsia="宋体"/>
                <w:color w:val="000000"/>
                <w:sz w:val="21"/>
                <w:szCs w:val="21"/>
              </w:rPr>
              <w:t>____</w:t>
            </w:r>
          </w:p>
        </w:tc>
      </w:tr>
      <w:tr w14:paraId="5FFE7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4B92D77">
            <w:r>
              <w:rPr>
                <w:rFonts w:ascii="Times New Roman" w:hAnsi="Times New Roman" w:eastAsia="宋体"/>
                <w:color w:val="000000"/>
                <w:sz w:val="21"/>
                <w:szCs w:val="21"/>
              </w:rPr>
              <w:t>焦虑</w:t>
            </w:r>
          </w:p>
        </w:tc>
        <w:tc>
          <w:tcPr>
            <w:tcW w:w="2880" w:type="dxa"/>
          </w:tcPr>
          <w:p w14:paraId="15F4C79C">
            <w:r>
              <w:rPr>
                <w:rFonts w:ascii="Times New Roman" w:hAnsi="Times New Roman" w:eastAsia="宋体"/>
                <w:color w:val="000000"/>
                <w:sz w:val="21"/>
                <w:szCs w:val="21"/>
              </w:rPr>
              <w:t>有：频率（1分偶尔～4分非常频繁）×严重程度（1分轻度～3分重度）；无=0分</w:t>
            </w:r>
          </w:p>
        </w:tc>
        <w:tc>
          <w:tcPr>
            <w:tcW w:w="2880" w:type="dxa"/>
          </w:tcPr>
          <w:p w14:paraId="661AA9F3">
            <w:r>
              <w:rPr>
                <w:rFonts w:ascii="Times New Roman" w:hAnsi="Times New Roman" w:eastAsia="宋体"/>
                <w:color w:val="000000"/>
                <w:sz w:val="21"/>
                <w:szCs w:val="21"/>
              </w:rPr>
              <w:t>____</w:t>
            </w:r>
          </w:p>
        </w:tc>
      </w:tr>
      <w:tr w14:paraId="2CF03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1A987ACB">
            <w:r>
              <w:rPr>
                <w:rFonts w:ascii="Times New Roman" w:hAnsi="Times New Roman" w:eastAsia="宋体"/>
                <w:color w:val="000000"/>
                <w:sz w:val="21"/>
                <w:szCs w:val="21"/>
              </w:rPr>
              <w:t>情感淡漠</w:t>
            </w:r>
          </w:p>
        </w:tc>
        <w:tc>
          <w:tcPr>
            <w:tcW w:w="2880" w:type="dxa"/>
          </w:tcPr>
          <w:p w14:paraId="3AD58F9F">
            <w:r>
              <w:rPr>
                <w:rFonts w:ascii="Times New Roman" w:hAnsi="Times New Roman" w:eastAsia="宋体"/>
                <w:color w:val="000000"/>
                <w:sz w:val="21"/>
                <w:szCs w:val="21"/>
              </w:rPr>
              <w:t>有：频率（1分偶尔～4分非常频繁）×严重程度（1分轻度～3分重度）；无=0分</w:t>
            </w:r>
          </w:p>
        </w:tc>
        <w:tc>
          <w:tcPr>
            <w:tcW w:w="2880" w:type="dxa"/>
          </w:tcPr>
          <w:p w14:paraId="44FD9EF4">
            <w:r>
              <w:rPr>
                <w:rFonts w:ascii="Times New Roman" w:hAnsi="Times New Roman" w:eastAsia="宋体"/>
                <w:color w:val="000000"/>
                <w:sz w:val="21"/>
                <w:szCs w:val="21"/>
              </w:rPr>
              <w:t>____</w:t>
            </w:r>
          </w:p>
        </w:tc>
      </w:tr>
      <w:tr w14:paraId="35346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39BD4729">
            <w:r>
              <w:rPr>
                <w:rFonts w:ascii="Times New Roman" w:hAnsi="Times New Roman" w:eastAsia="宋体"/>
                <w:color w:val="000000"/>
                <w:sz w:val="21"/>
                <w:szCs w:val="21"/>
              </w:rPr>
              <w:t>脱抑制</w:t>
            </w:r>
          </w:p>
        </w:tc>
        <w:tc>
          <w:tcPr>
            <w:tcW w:w="2880" w:type="dxa"/>
          </w:tcPr>
          <w:p w14:paraId="6590A10D">
            <w:r>
              <w:rPr>
                <w:rFonts w:ascii="Times New Roman" w:hAnsi="Times New Roman" w:eastAsia="宋体"/>
                <w:color w:val="000000"/>
                <w:sz w:val="21"/>
                <w:szCs w:val="21"/>
              </w:rPr>
              <w:t>有：频率（1分偶尔～4分非常频繁）×严重程度（1分轻度～3分重度）；无=0分</w:t>
            </w:r>
          </w:p>
        </w:tc>
        <w:tc>
          <w:tcPr>
            <w:tcW w:w="2880" w:type="dxa"/>
          </w:tcPr>
          <w:p w14:paraId="2982BCED">
            <w:r>
              <w:rPr>
                <w:rFonts w:ascii="Times New Roman" w:hAnsi="Times New Roman" w:eastAsia="宋体"/>
                <w:color w:val="000000"/>
                <w:sz w:val="21"/>
                <w:szCs w:val="21"/>
              </w:rPr>
              <w:t>____</w:t>
            </w:r>
          </w:p>
        </w:tc>
      </w:tr>
      <w:tr w14:paraId="395A7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82D2DC8">
            <w:r>
              <w:rPr>
                <w:rFonts w:ascii="Times New Roman" w:hAnsi="Times New Roman" w:eastAsia="宋体"/>
                <w:color w:val="000000"/>
                <w:sz w:val="21"/>
                <w:szCs w:val="21"/>
              </w:rPr>
              <w:t>易激惹/情绪不稳</w:t>
            </w:r>
          </w:p>
        </w:tc>
        <w:tc>
          <w:tcPr>
            <w:tcW w:w="2880" w:type="dxa"/>
          </w:tcPr>
          <w:p w14:paraId="22893F9D">
            <w:r>
              <w:rPr>
                <w:rFonts w:ascii="Times New Roman" w:hAnsi="Times New Roman" w:eastAsia="宋体"/>
                <w:color w:val="000000"/>
                <w:sz w:val="21"/>
                <w:szCs w:val="21"/>
              </w:rPr>
              <w:t>有：频率（1分偶尔～4分非常频繁）×严重程度（1分轻度～3分重度）；无=0分</w:t>
            </w:r>
          </w:p>
        </w:tc>
        <w:tc>
          <w:tcPr>
            <w:tcW w:w="2880" w:type="dxa"/>
          </w:tcPr>
          <w:p w14:paraId="79F03A28">
            <w:r>
              <w:rPr>
                <w:rFonts w:ascii="Times New Roman" w:hAnsi="Times New Roman" w:eastAsia="宋体"/>
                <w:color w:val="000000"/>
                <w:sz w:val="21"/>
                <w:szCs w:val="21"/>
              </w:rPr>
              <w:t>____</w:t>
            </w:r>
          </w:p>
        </w:tc>
      </w:tr>
      <w:tr w14:paraId="66D7A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7BA664B2">
            <w:r>
              <w:rPr>
                <w:rFonts w:ascii="Times New Roman" w:hAnsi="Times New Roman" w:eastAsia="宋体"/>
                <w:color w:val="000000"/>
                <w:sz w:val="21"/>
                <w:szCs w:val="21"/>
              </w:rPr>
              <w:t>异常运动行为</w:t>
            </w:r>
          </w:p>
        </w:tc>
        <w:tc>
          <w:tcPr>
            <w:tcW w:w="2880" w:type="dxa"/>
          </w:tcPr>
          <w:p w14:paraId="603B1279">
            <w:r>
              <w:rPr>
                <w:rFonts w:ascii="Times New Roman" w:hAnsi="Times New Roman" w:eastAsia="宋体"/>
                <w:color w:val="000000"/>
                <w:sz w:val="21"/>
                <w:szCs w:val="21"/>
              </w:rPr>
              <w:t>有：频率（1分偶尔～4分非常频繁）×严重程度（1分轻度～3分重度）；无=0分</w:t>
            </w:r>
          </w:p>
        </w:tc>
        <w:tc>
          <w:tcPr>
            <w:tcW w:w="2880" w:type="dxa"/>
          </w:tcPr>
          <w:p w14:paraId="10051363">
            <w:r>
              <w:rPr>
                <w:rFonts w:ascii="Times New Roman" w:hAnsi="Times New Roman" w:eastAsia="宋体"/>
                <w:color w:val="000000"/>
                <w:sz w:val="21"/>
                <w:szCs w:val="21"/>
              </w:rPr>
              <w:t>____</w:t>
            </w:r>
          </w:p>
        </w:tc>
      </w:tr>
      <w:tr w14:paraId="316D0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04D1B093">
            <w:r>
              <w:rPr>
                <w:rFonts w:ascii="Times New Roman" w:hAnsi="Times New Roman" w:eastAsia="宋体"/>
                <w:color w:val="000000"/>
                <w:sz w:val="21"/>
                <w:szCs w:val="21"/>
              </w:rPr>
              <w:t>睡眠/夜间行为</w:t>
            </w:r>
          </w:p>
        </w:tc>
        <w:tc>
          <w:tcPr>
            <w:tcW w:w="2880" w:type="dxa"/>
          </w:tcPr>
          <w:p w14:paraId="7FEDB388">
            <w:r>
              <w:rPr>
                <w:rFonts w:ascii="Times New Roman" w:hAnsi="Times New Roman" w:eastAsia="宋体"/>
                <w:color w:val="000000"/>
                <w:sz w:val="21"/>
                <w:szCs w:val="21"/>
              </w:rPr>
              <w:t>有：频率（1分偶尔～4分非常频繁）×严重程度（1分轻度～3分重度）；无=0分</w:t>
            </w:r>
          </w:p>
        </w:tc>
        <w:tc>
          <w:tcPr>
            <w:tcW w:w="2880" w:type="dxa"/>
          </w:tcPr>
          <w:p w14:paraId="27551034">
            <w:r>
              <w:rPr>
                <w:rFonts w:ascii="Times New Roman" w:hAnsi="Times New Roman" w:eastAsia="宋体"/>
                <w:color w:val="000000"/>
                <w:sz w:val="21"/>
                <w:szCs w:val="21"/>
              </w:rPr>
              <w:t>____</w:t>
            </w:r>
          </w:p>
        </w:tc>
      </w:tr>
      <w:tr w14:paraId="4DB77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3C5B5D00">
            <w:r>
              <w:rPr>
                <w:rFonts w:ascii="Times New Roman" w:hAnsi="Times New Roman" w:eastAsia="宋体"/>
                <w:color w:val="000000"/>
                <w:sz w:val="21"/>
                <w:szCs w:val="21"/>
              </w:rPr>
              <w:t>食欲和进食障碍</w:t>
            </w:r>
          </w:p>
        </w:tc>
        <w:tc>
          <w:tcPr>
            <w:tcW w:w="2880" w:type="dxa"/>
          </w:tcPr>
          <w:p w14:paraId="1B8F811B">
            <w:r>
              <w:rPr>
                <w:rFonts w:ascii="Times New Roman" w:hAnsi="Times New Roman" w:eastAsia="宋体"/>
                <w:color w:val="000000"/>
                <w:sz w:val="21"/>
                <w:szCs w:val="21"/>
              </w:rPr>
              <w:t>有：频率（1分偶尔～4分非常频繁）×严重程度（1分轻度～3分重度）；无=0分</w:t>
            </w:r>
          </w:p>
        </w:tc>
        <w:tc>
          <w:tcPr>
            <w:tcW w:w="2880" w:type="dxa"/>
          </w:tcPr>
          <w:p w14:paraId="07FF1CD3">
            <w:r>
              <w:rPr>
                <w:rFonts w:ascii="Times New Roman" w:hAnsi="Times New Roman" w:eastAsia="宋体"/>
                <w:color w:val="000000"/>
                <w:sz w:val="21"/>
                <w:szCs w:val="21"/>
              </w:rPr>
              <w:t>____</w:t>
            </w:r>
          </w:p>
        </w:tc>
      </w:tr>
      <w:tr w14:paraId="7D768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453A36F7">
            <w:r>
              <w:rPr>
                <w:rFonts w:ascii="Times New Roman" w:hAnsi="Times New Roman" w:eastAsia="宋体"/>
                <w:color w:val="000000"/>
                <w:sz w:val="21"/>
                <w:szCs w:val="21"/>
              </w:rPr>
              <w:t>欣快/情绪高涨</w:t>
            </w:r>
          </w:p>
        </w:tc>
        <w:tc>
          <w:tcPr>
            <w:tcW w:w="2880" w:type="dxa"/>
          </w:tcPr>
          <w:p w14:paraId="28E745C8">
            <w:r>
              <w:rPr>
                <w:rFonts w:ascii="Times New Roman" w:hAnsi="Times New Roman" w:eastAsia="宋体"/>
                <w:color w:val="000000"/>
                <w:sz w:val="21"/>
                <w:szCs w:val="21"/>
              </w:rPr>
              <w:t>有：频率（1分偶尔～4分非常频繁）×严重程度（1分轻度～3分重度）；无=0分</w:t>
            </w:r>
          </w:p>
        </w:tc>
        <w:tc>
          <w:tcPr>
            <w:tcW w:w="2880" w:type="dxa"/>
          </w:tcPr>
          <w:p w14:paraId="6159572D">
            <w:r>
              <w:rPr>
                <w:rFonts w:ascii="Times New Roman" w:hAnsi="Times New Roman" w:eastAsia="宋体"/>
                <w:color w:val="000000"/>
                <w:sz w:val="21"/>
                <w:szCs w:val="21"/>
              </w:rPr>
              <w:t>____</w:t>
            </w:r>
          </w:p>
        </w:tc>
      </w:tr>
      <w:tr w14:paraId="1428A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80" w:type="dxa"/>
          </w:tcPr>
          <w:p w14:paraId="03B3A6F7">
            <w:r>
              <w:rPr>
                <w:rFonts w:ascii="Times New Roman" w:hAnsi="Times New Roman" w:eastAsia="宋体"/>
                <w:color w:val="000000"/>
                <w:sz w:val="21"/>
                <w:szCs w:val="21"/>
              </w:rPr>
              <w:t>总分（0分～144分）</w:t>
            </w:r>
          </w:p>
        </w:tc>
        <w:tc>
          <w:tcPr>
            <w:tcW w:w="2880" w:type="dxa"/>
          </w:tcPr>
          <w:p w14:paraId="49D54EC2">
            <w:r>
              <w:rPr>
                <w:rFonts w:ascii="Times New Roman" w:hAnsi="Times New Roman" w:eastAsia="宋体"/>
                <w:color w:val="000000"/>
                <w:sz w:val="21"/>
                <w:szCs w:val="21"/>
              </w:rPr>
              <w:t>____分；症状所致照护者苦恼程度另按0分～5分评定</w:t>
            </w:r>
          </w:p>
        </w:tc>
        <w:tc>
          <w:tcPr>
            <w:tcW w:w="2880" w:type="dxa"/>
          </w:tcPr>
          <w:p w14:paraId="1D43C01E">
            <w:r>
              <w:rPr>
                <w:rFonts w:ascii="Times New Roman" w:hAnsi="Times New Roman" w:eastAsia="宋体"/>
                <w:color w:val="000000"/>
                <w:sz w:val="21"/>
                <w:szCs w:val="21"/>
              </w:rPr>
              <w:t>____</w:t>
            </w:r>
          </w:p>
        </w:tc>
      </w:tr>
    </w:tbl>
    <w:p w14:paraId="2FC98615">
      <w:pPr>
        <w:pStyle w:val="24"/>
        <w:pBdr>
          <w:top w:val="none" w:color="auto" w:sz="0" w:space="0"/>
          <w:left w:val="none" w:color="auto" w:sz="0" w:space="0"/>
          <w:bottom w:val="none" w:color="auto" w:sz="0" w:space="0"/>
          <w:right w:val="none" w:color="auto" w:sz="0" w:space="0"/>
        </w:pBdr>
      </w:pPr>
      <w:r>
        <w:t>评分说明：</w:t>
      </w:r>
    </w:p>
    <w:p w14:paraId="198B860D">
      <w:pPr>
        <w:pStyle w:val="24"/>
        <w:pBdr>
          <w:top w:val="none" w:color="auto" w:sz="0" w:space="0"/>
          <w:left w:val="none" w:color="auto" w:sz="0" w:space="0"/>
          <w:bottom w:val="none" w:color="auto" w:sz="0" w:space="0"/>
          <w:right w:val="none" w:color="auto" w:sz="0" w:space="0"/>
        </w:pBdr>
      </w:pPr>
      <w:r>
        <w:rPr>
          <w:rFonts w:hint="eastAsia"/>
          <w:lang w:eastAsia="zh-CN"/>
        </w:rPr>
        <w:t>a）评定宜由熟悉使用者的照护者或家属完成，询问近1个月内的症状表现；</w:t>
      </w:r>
    </w:p>
    <w:p w14:paraId="14979867">
      <w:pPr>
        <w:pStyle w:val="24"/>
        <w:pBdr>
          <w:top w:val="none" w:color="auto" w:sz="0" w:space="0"/>
          <w:left w:val="none" w:color="auto" w:sz="0" w:space="0"/>
          <w:bottom w:val="none" w:color="auto" w:sz="0" w:space="0"/>
          <w:right w:val="none" w:color="auto" w:sz="0" w:space="0"/>
        </w:pBdr>
      </w:pPr>
      <w:r>
        <w:rPr>
          <w:rFonts w:hint="eastAsia"/>
          <w:lang w:eastAsia="zh-CN"/>
        </w:rPr>
        <w:t>b）</w:t>
      </w:r>
      <w:r>
        <w:t>各症状领域均先询问有无（有=1，无=0）；存在者再评定频率和严重程度：频率——1分：偶尔（少于每周1次）；2分：经常（每周1次～2次）；3分：频繁（每周数次）；4分：非常频繁（每天发生或持续存在）。严重程度——1分：轻度（痛苦轻微，不影响日常生活）；2分：中度（造成较明显痛苦，尚能应付）；3分：重度（非常痛苦，难以应付）。该项得分=频率×严重程度；</w:t>
      </w:r>
    </w:p>
    <w:p w14:paraId="2872CD17">
      <w:pPr>
        <w:pStyle w:val="24"/>
        <w:pBdr>
          <w:top w:val="none" w:color="auto" w:sz="0" w:space="0"/>
          <w:left w:val="none" w:color="auto" w:sz="0" w:space="0"/>
          <w:bottom w:val="none" w:color="auto" w:sz="0" w:space="0"/>
          <w:right w:val="none" w:color="auto" w:sz="0" w:space="0"/>
        </w:pBdr>
      </w:pPr>
      <w:r>
        <w:rPr>
          <w:rFonts w:hint="eastAsia"/>
          <w:lang w:eastAsia="zh-CN"/>
        </w:rPr>
        <w:t>c）</w:t>
      </w:r>
      <w:r>
        <w:rPr>
          <w:rFonts w:hint="eastAsia"/>
        </w:rPr>
        <w:t>同时评定各症状所致照护者苦恼程度：0分：无苦恼；1分：轻微；2分：中度；3分：重度；4分：非常重度；5分：极度（几乎不能应付）。总分0分～144分，总分越高提示精神行为症状越重，同时结合苦恼评分评估对照护者的影响。</w:t>
      </w:r>
    </w:p>
    <w:p w14:paraId="1D6DA834">
      <w:pPr>
        <w:spacing w:line="360" w:lineRule="auto"/>
        <w:ind w:firstLine="420"/>
        <w:rPr>
          <w:rFonts w:ascii="宋体" w:hAnsi="宋体" w:eastAsia="宋体"/>
          <w:b w:val="0"/>
          <w:i w:val="0"/>
          <w:sz w:val="21"/>
          <w:szCs w:val="21"/>
        </w:rPr>
      </w:pPr>
      <w:r>
        <w:rPr>
          <w:rFonts w:ascii="Times New Roman" w:hAnsi="Times New Roman" w:eastAsia="宋体"/>
          <w:b w:val="0"/>
          <w:i w:val="0"/>
          <w:color w:val="000000"/>
          <w:sz w:val="24"/>
          <w:szCs w:val="24"/>
        </w:rPr>
        <w:br w:type="page"/>
      </w:r>
    </w:p>
    <w:p w14:paraId="1E8D45A3">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bookmarkStart w:id="73" w:name="_Toc20988"/>
      <w:bookmarkStart w:id="74" w:name="_Toc31937"/>
      <w:r>
        <w:rPr>
          <w:rFonts w:hint="eastAsia"/>
          <w:lang w:val="en-US" w:eastAsia="zh-CN"/>
        </w:rPr>
        <w:t>附  录 J</w:t>
      </w:r>
      <w:bookmarkEnd w:id="73"/>
      <w:bookmarkEnd w:id="74"/>
    </w:p>
    <w:p w14:paraId="6E4ACABE">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（资料性）</w:t>
      </w:r>
    </w:p>
    <w:p w14:paraId="258680BE">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汉密尔顿焦虑量表（HAMA）</w:t>
      </w:r>
    </w:p>
    <w:p w14:paraId="0F96B084">
      <w:pPr>
        <w:pStyle w:val="24"/>
        <w:pBdr>
          <w:top w:val="none" w:color="auto" w:sz="0" w:space="0"/>
          <w:left w:val="none" w:color="auto" w:sz="0" w:space="0"/>
          <w:bottom w:val="none" w:color="auto" w:sz="0" w:space="0"/>
          <w:right w:val="none" w:color="auto" w:sz="0" w:space="0"/>
        </w:pBdr>
      </w:pPr>
      <w:r>
        <w:t>汉密尔顿焦虑量表（Hamilton Anxiety Scale, HAMA）用于评估焦虑症状的严重程度，共14个项目，每项0分～4分，总分0分～56分。</w:t>
      </w:r>
    </w:p>
    <w:tbl>
      <w:tblPr>
        <w:tblStyle w:val="3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350"/>
        <w:gridCol w:w="4300"/>
        <w:gridCol w:w="2150"/>
      </w:tblGrid>
      <w:tr w14:paraId="6C02A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03C47516">
            <w:pPr>
              <w:pStyle w:val="32"/>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评估项目</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6FB31707">
            <w:pPr>
              <w:pStyle w:val="32"/>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评分标准</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4C47B40D">
            <w:pPr>
              <w:pStyle w:val="32"/>
              <w:keepNext w:val="0"/>
              <w:keepLines w:val="0"/>
              <w:widowControl/>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得分</w:t>
            </w:r>
          </w:p>
        </w:tc>
      </w:tr>
      <w:tr w14:paraId="6B638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458DFD73">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焦虑心境</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5D71E3C1">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0分：无；1分：轻度——偶有担忧，问及时才诉述；2分：中度——经常担忧，自发地表达，易激惹；3分：重度——表情和言谈流露出明显忧虑，影响日常生活；4分：极重度——几乎整日惶恐不安，不能正常生活</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3C2693C0">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r w14:paraId="66A3B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3C0B25F9">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紧张</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50AC30B2">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0分：无；1分：轻度——问及时诉述偶有紧张感、易疲劳；2分：中度——自发地表达紧张不安，时有小动作增多；3分：重度——明显紧张、心神不定、易哭、颤抖，影响活动；4分：极重度——持续烦躁不安、惊恐发作，不能忍受</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68238E9F">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r w14:paraId="076D0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6BBA674E">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害怕</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61712D88">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0分：无；1分：轻度——问及时诉述偶有害怕；2分：中度——自发地表达害怕，回避个别场合；3分：重度——明显害怕，回避多种场合；4分：极重度——极度恐惧，广泛回避</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16DA348F">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r w14:paraId="54133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6173B7ED">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失眠</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3193AF05">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0分：无；1分：轻度——偶有入睡困难或易醒；2分：中度——经常入睡困难、多梦或早醒；3分：重度——睡眠不足明显，影响白天状态；4分：极重度——几乎整夜不眠</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629A1200">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r w14:paraId="3DE31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0F1DA49C">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认知功能</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6DDCEBC1">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0分：无；1分：轻度——问及时诉述注意力偶不集中；2分：中度——自发地表达注意力和记忆力下降；3分：重度——明显影响日常事务的处理；4分：极重度——难以进行简单计算，无法处理日常事务</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74492572">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r w14:paraId="42664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358FF998">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抑郁心境</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03AAF6AC">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0分：无；1分：轻度——问及时诉述情绪略低；2分：中度——自发地表达兴趣减退、情绪低落；3分：重度——明显抑郁，兴趣显著丧失；4分：极重度——整日情绪低落，不能自控</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6C20C896">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r w14:paraId="1AE89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1346A2BE">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躯体性焦虑（肌肉系统）</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54278085">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0分：无；1分：轻度——问及时诉述偶有肌肉酸痛、僵硬；2分：中度——可观察到肌肉紧张、轻度抽动或震颤；3分：重度——明显僵硬、震颤，活动受限；4分：极重度——全身肌肉持续强直，严重抽动</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334607A2">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r w14:paraId="6C022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0DB44BA8">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躯体性焦虑（感觉系统）</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2F78DC15">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0分：无；1分：轻度——问及时诉述偶有发麻、刺痛感；2分：中度——经常诉述视物模糊、发冷发热、软弱无力；3分：重度——症状明显且频繁，影响活动；4分：极重度——症状严重，不能忍受</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46ABE021">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r w14:paraId="494A7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34A6AACF">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心血管系统症状</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683EA163">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0分：无；1分：轻度——偶感心悸；2分：中度——经常心悸、胸闷或心动过速；3分：重度——明显心悸、胸痛，需医疗关注；4分：极重度——频繁严重发作，甚至晕厥</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4C29A191">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r w14:paraId="6D931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690BC466">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呼吸系统症状</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1DAB8C59">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0分：无；1分：轻度——偶有胸闷、叹息；2分：中度——经常胸闷、呼吸困难；3分：重度——明显呼吸困难、有窒息感；4分：极重度——频繁过度换气发作，不能忍受</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4BBFF73C">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r w14:paraId="5424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535F7A69">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胃肠消化道症状</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15305DD4">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0分：无；1分：轻度——偶有嗳气、消化不良；2分：中度——经常上腹不适、腹泻或便秘；3分：重度——明显恶心呕吐，影响进食；4分：极重度——吞咽困难，不能正常进食</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29E9B1EF">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r w14:paraId="23544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1B0D11C5">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生殖泌尿系统症状</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76CA7DF4">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0分：无；1分：轻度——偶有尿频、尿急；2分：中度——经常尿频、尿急，性欲减退；3分：重度——月经紊乱或性功能明显障碍；4分：极重度——症状严重，需医疗处理</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0428F8A4">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r w14:paraId="1384C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41AA431C">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植物神经症状</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29EB131F">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0分：无；1分：轻度——偶有口干、多汗；2分：中度——经常面部潮红或苍白、出汗增多；3分：重度——明显多汗、潮红，伴紧张性头痛；4分：极重度——植物神经症状严重且持续存在</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3015179F">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r w14:paraId="7D4F0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5A3738FE">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会谈时行为表现</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67954E31">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0分：无；1分：轻度——检查时偶有小动作；2分：中度——小动作增多、坐立不安；3分：重度——明显坐立不安，频繁搓手、攥拳或面肌抽动；4分：极重度——不能静坐，极度烦躁</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0E8DB26D">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r w14:paraId="79B0A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4" w:hRule="atLeast"/>
          <w:jc w:val="center"/>
        </w:trPr>
        <w:tc>
          <w:tcPr>
            <w:tcW w:w="23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18AE9101">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总分（0分～56分）</w:t>
            </w:r>
          </w:p>
        </w:tc>
        <w:tc>
          <w:tcPr>
            <w:tcW w:w="430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65B298A6">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____分</w:t>
            </w:r>
          </w:p>
        </w:tc>
        <w:tc>
          <w:tcPr>
            <w:tcW w:w="2150" w:type="dxa"/>
            <w:tcBorders>
              <w:top w:val="single" w:color="000000" w:sz="2" w:space="0"/>
              <w:left w:val="single" w:color="000000" w:sz="2" w:space="0"/>
              <w:bottom w:val="single" w:color="000000" w:sz="2" w:space="0"/>
              <w:right w:val="single" w:color="000000" w:sz="2" w:space="0"/>
            </w:tcBorders>
            <w:shd w:val="clear" w:color="auto" w:fill="auto"/>
            <w:tcMar>
              <w:top w:w="0" w:type="dxa"/>
              <w:left w:w="108" w:type="dxa"/>
              <w:bottom w:w="0" w:type="dxa"/>
              <w:right w:w="108" w:type="dxa"/>
            </w:tcMar>
            <w:vAlign w:val="top"/>
          </w:tcPr>
          <w:p w14:paraId="7B4BC9B0">
            <w:pPr>
              <w:pStyle w:val="32"/>
              <w:keepNext w:val="0"/>
              <w:keepLines w:val="0"/>
              <w:widowControl/>
              <w:suppressLineNumbers w:val="0"/>
              <w:spacing w:before="0" w:beforeAutospacing="0" w:after="0" w:afterAutospacing="0"/>
              <w:ind w:left="0" w:right="0"/>
              <w:jc w:val="both"/>
              <w:rPr>
                <w:rFonts w:hint="eastAsia" w:ascii="宋体" w:hAnsi="宋体" w:eastAsia="宋体" w:cs="宋体"/>
                <w:sz w:val="21"/>
                <w:szCs w:val="21"/>
              </w:rPr>
            </w:pPr>
            <w:r>
              <w:rPr>
                <w:rFonts w:hint="eastAsia" w:ascii="宋体" w:hAnsi="宋体" w:eastAsia="宋体" w:cs="宋体"/>
                <w:b w:val="0"/>
                <w:bCs w:val="0"/>
                <w:i w:val="0"/>
                <w:iCs w:val="0"/>
                <w:color w:val="000000"/>
                <w:spacing w:val="0"/>
                <w:w w:val="100"/>
                <w:sz w:val="21"/>
                <w:szCs w:val="21"/>
                <w:vertAlign w:val="baseline"/>
              </w:rPr>
              <w:t>____</w:t>
            </w:r>
          </w:p>
        </w:tc>
      </w:tr>
    </w:tbl>
    <w:p w14:paraId="00B7CD03">
      <w:pPr>
        <w:pStyle w:val="32"/>
        <w:keepNext w:val="0"/>
        <w:keepLines w:val="0"/>
        <w:widowControl/>
        <w:suppressLineNumbers w:val="0"/>
        <w:spacing w:before="0" w:beforeAutospacing="0" w:after="0" w:afterAutospacing="0" w:line="18" w:lineRule="atLeast"/>
        <w:ind w:left="0" w:right="0"/>
        <w:jc w:val="left"/>
      </w:pPr>
      <w:r>
        <w:rPr>
          <w:rFonts w:hint="eastAsia" w:ascii="宋体" w:hAnsi="宋体" w:eastAsia="宋体" w:cs="宋体"/>
          <w:b w:val="0"/>
          <w:bCs w:val="0"/>
          <w:i w:val="0"/>
          <w:iCs w:val="0"/>
          <w:color w:val="000000"/>
          <w:spacing w:val="0"/>
          <w:w w:val="100"/>
          <w:sz w:val="21"/>
          <w:szCs w:val="21"/>
          <w:vertAlign w:val="baseline"/>
          <w:lang w:val="en-US"/>
        </w:rPr>
        <w:t> </w:t>
      </w:r>
    </w:p>
    <w:p w14:paraId="46809CF9">
      <w:pPr>
        <w:pStyle w:val="24"/>
        <w:pBdr>
          <w:top w:val="none" w:color="auto" w:sz="0" w:space="0"/>
          <w:left w:val="none" w:color="auto" w:sz="0" w:space="0"/>
          <w:bottom w:val="none" w:color="auto" w:sz="0" w:space="0"/>
          <w:right w:val="none" w:color="auto" w:sz="0" w:space="0"/>
        </w:pBdr>
      </w:pPr>
      <w:r>
        <w:rPr>
          <w:rFonts w:hint="eastAsia"/>
        </w:rPr>
        <w:t>评分说明：</w:t>
      </w:r>
    </w:p>
    <w:p w14:paraId="766066C0">
      <w:pPr>
        <w:pStyle w:val="24"/>
        <w:pBdr>
          <w:top w:val="none" w:color="auto" w:sz="0" w:space="0"/>
          <w:left w:val="none" w:color="auto" w:sz="0" w:space="0"/>
          <w:bottom w:val="none" w:color="auto" w:sz="0" w:space="0"/>
          <w:right w:val="none" w:color="auto" w:sz="0" w:space="0"/>
        </w:pBdr>
      </w:pPr>
      <w:r>
        <w:rPr>
          <w:rFonts w:hint="eastAsia"/>
        </w:rPr>
        <w:t>a） 各项目均按0分～4分五级评定（0无、1轻度、2中度、3重度、4极重度）；</w:t>
      </w:r>
    </w:p>
    <w:p w14:paraId="23F0307E">
      <w:pPr>
        <w:pStyle w:val="24"/>
        <w:pBdr>
          <w:top w:val="none" w:color="auto" w:sz="0" w:space="0"/>
          <w:left w:val="none" w:color="auto" w:sz="0" w:space="0"/>
          <w:bottom w:val="none" w:color="auto" w:sz="0" w:space="0"/>
          <w:right w:val="none" w:color="auto" w:sz="0" w:space="0"/>
        </w:pBdr>
      </w:pPr>
      <w:r>
        <w:rPr>
          <w:rFonts w:hint="eastAsia"/>
        </w:rPr>
        <w:t>b） 总分＜7分为无焦虑症状，7分～13分为可能有焦虑，14分～20分为肯定有焦虑，21分～28分为明显焦虑，≥29分为严重焦虑；</w:t>
      </w:r>
    </w:p>
    <w:p w14:paraId="55B11DE1">
      <w:pPr>
        <w:pStyle w:val="24"/>
        <w:pBdr>
          <w:top w:val="none" w:color="auto" w:sz="0" w:space="0"/>
          <w:left w:val="none" w:color="auto" w:sz="0" w:space="0"/>
          <w:bottom w:val="none" w:color="auto" w:sz="0" w:space="0"/>
          <w:right w:val="none" w:color="auto" w:sz="0" w:space="0"/>
        </w:pBdr>
      </w:pPr>
      <w:r>
        <w:rPr>
          <w:rFonts w:hint="eastAsia"/>
        </w:rPr>
        <w:t>c） 第1项～第6项及第14项为精神性焦虑因子，第7项～第13项为躯体性焦虑因子；</w:t>
      </w:r>
    </w:p>
    <w:p w14:paraId="03FE0996">
      <w:pPr>
        <w:pStyle w:val="24"/>
        <w:pBdr>
          <w:top w:val="none" w:color="auto" w:sz="0" w:space="0"/>
          <w:left w:val="none" w:color="auto" w:sz="0" w:space="0"/>
          <w:bottom w:val="none" w:color="auto" w:sz="0" w:space="0"/>
          <w:right w:val="none" w:color="auto" w:sz="0" w:space="0"/>
        </w:pBdr>
      </w:pPr>
      <w:r>
        <w:rPr>
          <w:rFonts w:hint="eastAsia"/>
        </w:rPr>
        <w:t>d） 宜由经过培训的专业人员结合访谈和观察评定。</w:t>
      </w:r>
    </w:p>
    <w:p w14:paraId="42E07BE6">
      <w:pPr>
        <w:spacing w:line="360" w:lineRule="auto"/>
        <w:ind w:firstLine="420"/>
        <w:rPr>
          <w:rFonts w:ascii="宋体" w:hAnsi="宋体" w:eastAsia="宋体"/>
          <w:b w:val="0"/>
          <w:i w:val="0"/>
          <w:sz w:val="21"/>
          <w:szCs w:val="21"/>
        </w:rPr>
      </w:pPr>
      <w:r>
        <w:rPr>
          <w:rFonts w:ascii="Times New Roman" w:hAnsi="Times New Roman" w:eastAsia="宋体"/>
          <w:b w:val="0"/>
          <w:i w:val="0"/>
          <w:color w:val="000000"/>
          <w:sz w:val="24"/>
          <w:szCs w:val="24"/>
        </w:rPr>
        <w:br w:type="page"/>
      </w:r>
    </w:p>
    <w:p w14:paraId="6C2BFAAE">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bookmarkStart w:id="75" w:name="_Toc12997"/>
      <w:bookmarkStart w:id="76" w:name="_Toc29085"/>
      <w:r>
        <w:rPr>
          <w:rFonts w:hint="eastAsia"/>
          <w:lang w:val="en-US" w:eastAsia="zh-CN"/>
        </w:rPr>
        <w:t>附  录 K</w:t>
      </w:r>
      <w:bookmarkEnd w:id="75"/>
      <w:bookmarkEnd w:id="76"/>
    </w:p>
    <w:p w14:paraId="61AFF229">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（资料性）</w:t>
      </w:r>
    </w:p>
    <w:p w14:paraId="2AC39543">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汉密尔顿抑郁量表（HAMD）</w:t>
      </w:r>
    </w:p>
    <w:p w14:paraId="1A0C3296">
      <w:pPr>
        <w:pStyle w:val="24"/>
        <w:pBdr>
          <w:top w:val="none" w:color="auto" w:sz="0" w:space="0"/>
          <w:left w:val="none" w:color="auto" w:sz="0" w:space="0"/>
          <w:bottom w:val="none" w:color="auto" w:sz="0" w:space="0"/>
          <w:right w:val="none" w:color="auto" w:sz="0" w:space="0"/>
        </w:pBdr>
      </w:pPr>
      <w:r>
        <w:t>汉密尔顿抑郁量表（Hamilton Depression Scale, HAMD，17项版）用于评估抑郁症状的严重程度，共17个项目，总分越高提示抑郁程度越重。</w:t>
      </w:r>
    </w:p>
    <w:p w14:paraId="5B2D2069">
      <w:pPr>
        <w:jc w:val="center"/>
        <w:rPr>
          <w:rFonts w:hint="eastAsia" w:ascii="宋体" w:hAnsi="宋体" w:eastAsia="宋体" w:cs="宋体"/>
          <w:sz w:val="21"/>
          <w:szCs w:val="21"/>
        </w:rPr>
      </w:pPr>
      <w:r>
        <w:rPr>
          <w:rFonts w:hint="eastAsia" w:ascii="宋体" w:hAnsi="宋体" w:eastAsia="宋体" w:cs="宋体"/>
          <w:b w:val="0"/>
          <w:bCs w:val="0"/>
          <w:color w:val="000000"/>
          <w:sz w:val="21"/>
          <w:szCs w:val="21"/>
        </w:rPr>
        <w:t>表K.1  HAMD评定项目及评分标准</w:t>
      </w: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50"/>
        <w:gridCol w:w="4300"/>
        <w:gridCol w:w="2150"/>
      </w:tblGrid>
      <w:tr w14:paraId="77514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04D35EC6">
            <w:pPr>
              <w:jc w:val="center"/>
              <w:rPr>
                <w:rFonts w:hint="eastAsia" w:ascii="宋体" w:hAnsi="宋体" w:eastAsia="宋体" w:cs="宋体"/>
                <w:sz w:val="21"/>
                <w:szCs w:val="21"/>
              </w:rPr>
            </w:pPr>
            <w:r>
              <w:rPr>
                <w:rFonts w:hint="eastAsia" w:ascii="宋体" w:hAnsi="宋体" w:eastAsia="宋体" w:cs="宋体"/>
                <w:color w:val="000000"/>
                <w:sz w:val="21"/>
                <w:szCs w:val="21"/>
              </w:rPr>
              <w:t>评估项目</w:t>
            </w:r>
          </w:p>
        </w:tc>
        <w:tc>
          <w:tcPr>
            <w:tcW w:w="4300" w:type="dxa"/>
          </w:tcPr>
          <w:p w14:paraId="368D6A27">
            <w:pPr>
              <w:jc w:val="center"/>
              <w:rPr>
                <w:rFonts w:hint="eastAsia" w:ascii="宋体" w:hAnsi="宋体" w:eastAsia="宋体" w:cs="宋体"/>
                <w:sz w:val="21"/>
                <w:szCs w:val="21"/>
              </w:rPr>
            </w:pPr>
            <w:r>
              <w:rPr>
                <w:rFonts w:hint="eastAsia" w:ascii="宋体" w:hAnsi="宋体" w:eastAsia="宋体" w:cs="宋体"/>
                <w:color w:val="000000"/>
                <w:sz w:val="21"/>
                <w:szCs w:val="21"/>
              </w:rPr>
              <w:t>评分标准</w:t>
            </w:r>
          </w:p>
        </w:tc>
        <w:tc>
          <w:tcPr>
            <w:tcW w:w="2150" w:type="dxa"/>
          </w:tcPr>
          <w:p w14:paraId="12A98390">
            <w:pPr>
              <w:jc w:val="center"/>
              <w:rPr>
                <w:rFonts w:hint="eastAsia" w:ascii="宋体" w:hAnsi="宋体" w:eastAsia="宋体" w:cs="宋体"/>
                <w:sz w:val="21"/>
                <w:szCs w:val="21"/>
              </w:rPr>
            </w:pPr>
            <w:r>
              <w:rPr>
                <w:rFonts w:hint="eastAsia" w:ascii="宋体" w:hAnsi="宋体" w:eastAsia="宋体" w:cs="宋体"/>
                <w:color w:val="000000"/>
                <w:sz w:val="21"/>
                <w:szCs w:val="21"/>
              </w:rPr>
              <w:t>得分</w:t>
            </w:r>
          </w:p>
        </w:tc>
      </w:tr>
      <w:tr w14:paraId="36498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7B08495A">
            <w:pPr>
              <w:rPr>
                <w:rFonts w:hint="eastAsia" w:ascii="宋体" w:hAnsi="宋体" w:eastAsia="宋体" w:cs="宋体"/>
                <w:sz w:val="21"/>
                <w:szCs w:val="21"/>
              </w:rPr>
            </w:pPr>
            <w:r>
              <w:rPr>
                <w:rFonts w:hint="eastAsia" w:ascii="宋体" w:hAnsi="宋体" w:eastAsia="宋体" w:cs="宋体"/>
                <w:color w:val="000000"/>
                <w:sz w:val="21"/>
                <w:szCs w:val="21"/>
              </w:rPr>
              <w:t>抑郁情绪</w:t>
            </w:r>
          </w:p>
        </w:tc>
        <w:tc>
          <w:tcPr>
            <w:tcW w:w="4300" w:type="dxa"/>
          </w:tcPr>
          <w:p w14:paraId="729C4AE7">
            <w:pPr>
              <w:rPr>
                <w:rFonts w:hint="eastAsia" w:ascii="宋体" w:hAnsi="宋体" w:eastAsia="宋体" w:cs="宋体"/>
                <w:sz w:val="21"/>
                <w:szCs w:val="21"/>
              </w:rPr>
            </w:pPr>
            <w:r>
              <w:rPr>
                <w:rFonts w:hint="eastAsia" w:ascii="宋体" w:hAnsi="宋体" w:eastAsia="宋体" w:cs="宋体"/>
                <w:color w:val="000000"/>
                <w:sz w:val="21"/>
                <w:szCs w:val="21"/>
              </w:rPr>
              <w:t>0分：无；1分：轻度——只在被问及时才诉述；2分：中度——在谈话中自发地表达；3分：重度——表情、言谈、姿势明显抑郁；4分：极重度——非言语行为几乎完全表达情绪，甚至达绝望程度</w:t>
            </w:r>
          </w:p>
        </w:tc>
        <w:tc>
          <w:tcPr>
            <w:tcW w:w="2150" w:type="dxa"/>
          </w:tcPr>
          <w:p w14:paraId="378111AF">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10647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73FD50E5">
            <w:pPr>
              <w:rPr>
                <w:rFonts w:hint="eastAsia" w:ascii="宋体" w:hAnsi="宋体" w:eastAsia="宋体" w:cs="宋体"/>
                <w:sz w:val="21"/>
                <w:szCs w:val="21"/>
              </w:rPr>
            </w:pPr>
            <w:r>
              <w:rPr>
                <w:rFonts w:hint="eastAsia" w:ascii="宋体" w:hAnsi="宋体" w:eastAsia="宋体" w:cs="宋体"/>
                <w:color w:val="000000"/>
                <w:sz w:val="21"/>
                <w:szCs w:val="21"/>
              </w:rPr>
              <w:t>有罪感</w:t>
            </w:r>
          </w:p>
        </w:tc>
        <w:tc>
          <w:tcPr>
            <w:tcW w:w="4300" w:type="dxa"/>
          </w:tcPr>
          <w:p w14:paraId="70EEA743">
            <w:pPr>
              <w:rPr>
                <w:rFonts w:hint="eastAsia" w:ascii="宋体" w:hAnsi="宋体" w:eastAsia="宋体" w:cs="宋体"/>
                <w:sz w:val="21"/>
                <w:szCs w:val="21"/>
              </w:rPr>
            </w:pPr>
            <w:r>
              <w:rPr>
                <w:rFonts w:hint="eastAsia" w:ascii="宋体" w:hAnsi="宋体" w:eastAsia="宋体" w:cs="宋体"/>
                <w:color w:val="000000"/>
                <w:sz w:val="21"/>
                <w:szCs w:val="21"/>
              </w:rPr>
              <w:t>0分：无；1分：轻度——责备自己，感到自己已连累他人；2分：中度——认为自己有罪，或反复思考以往的过失或错误；3分：重度——认为目前的疾病是对自己错误的惩罚，或有罪恶妄想；4分：极重度——罪恶妄想伴有指责或威胁性幻觉</w:t>
            </w:r>
          </w:p>
        </w:tc>
        <w:tc>
          <w:tcPr>
            <w:tcW w:w="2150" w:type="dxa"/>
          </w:tcPr>
          <w:p w14:paraId="394FCD98">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55F2B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3B7B8D08">
            <w:pPr>
              <w:rPr>
                <w:rFonts w:hint="eastAsia" w:ascii="宋体" w:hAnsi="宋体" w:eastAsia="宋体" w:cs="宋体"/>
                <w:sz w:val="21"/>
                <w:szCs w:val="21"/>
              </w:rPr>
            </w:pPr>
            <w:r>
              <w:rPr>
                <w:rFonts w:hint="eastAsia" w:ascii="宋体" w:hAnsi="宋体" w:eastAsia="宋体" w:cs="宋体"/>
                <w:color w:val="000000"/>
                <w:sz w:val="21"/>
                <w:szCs w:val="21"/>
              </w:rPr>
              <w:t>自杀</w:t>
            </w:r>
          </w:p>
        </w:tc>
        <w:tc>
          <w:tcPr>
            <w:tcW w:w="4300" w:type="dxa"/>
          </w:tcPr>
          <w:p w14:paraId="3B6E48D7">
            <w:pPr>
              <w:rPr>
                <w:rFonts w:hint="eastAsia" w:ascii="宋体" w:hAnsi="宋体" w:eastAsia="宋体" w:cs="宋体"/>
                <w:sz w:val="21"/>
                <w:szCs w:val="21"/>
              </w:rPr>
            </w:pPr>
            <w:r>
              <w:rPr>
                <w:rFonts w:hint="eastAsia" w:ascii="宋体" w:hAnsi="宋体" w:eastAsia="宋体" w:cs="宋体"/>
                <w:color w:val="000000"/>
                <w:sz w:val="21"/>
                <w:szCs w:val="21"/>
              </w:rPr>
              <w:t>0分：无；1分：轻度——觉得活着没有意义；2分：中度——希望自己已经死去，或常想到与死有关的事；3分：重度——有自杀念头；4分：极重度——有严重自杀行为</w:t>
            </w:r>
          </w:p>
        </w:tc>
        <w:tc>
          <w:tcPr>
            <w:tcW w:w="2150" w:type="dxa"/>
          </w:tcPr>
          <w:p w14:paraId="45A280C5">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17E8A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5484C313">
            <w:pPr>
              <w:rPr>
                <w:rFonts w:hint="eastAsia" w:ascii="宋体" w:hAnsi="宋体" w:eastAsia="宋体" w:cs="宋体"/>
                <w:sz w:val="21"/>
                <w:szCs w:val="21"/>
              </w:rPr>
            </w:pPr>
            <w:r>
              <w:rPr>
                <w:rFonts w:hint="eastAsia" w:ascii="宋体" w:hAnsi="宋体" w:eastAsia="宋体" w:cs="宋体"/>
                <w:color w:val="000000"/>
                <w:sz w:val="21"/>
                <w:szCs w:val="21"/>
              </w:rPr>
              <w:t>入睡困难（初段失眠）</w:t>
            </w:r>
          </w:p>
        </w:tc>
        <w:tc>
          <w:tcPr>
            <w:tcW w:w="4300" w:type="dxa"/>
          </w:tcPr>
          <w:p w14:paraId="27E9B862">
            <w:pPr>
              <w:rPr>
                <w:rFonts w:hint="eastAsia" w:ascii="宋体" w:hAnsi="宋体" w:eastAsia="宋体" w:cs="宋体"/>
                <w:sz w:val="21"/>
                <w:szCs w:val="21"/>
              </w:rPr>
            </w:pPr>
            <w:r>
              <w:rPr>
                <w:rFonts w:hint="eastAsia" w:ascii="宋体" w:hAnsi="宋体" w:eastAsia="宋体" w:cs="宋体"/>
                <w:color w:val="000000"/>
                <w:sz w:val="21"/>
                <w:szCs w:val="21"/>
              </w:rPr>
              <w:t>0分：无；1分：轻度——主诉有入睡困难，上床半小时后仍不能入睡；2分：重度——每晚均有入睡困难</w:t>
            </w:r>
          </w:p>
        </w:tc>
        <w:tc>
          <w:tcPr>
            <w:tcW w:w="2150" w:type="dxa"/>
          </w:tcPr>
          <w:p w14:paraId="524FC6BF">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5AF4E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5CC61DBD">
            <w:pPr>
              <w:rPr>
                <w:rFonts w:hint="eastAsia" w:ascii="宋体" w:hAnsi="宋体" w:eastAsia="宋体" w:cs="宋体"/>
                <w:sz w:val="21"/>
                <w:szCs w:val="21"/>
              </w:rPr>
            </w:pPr>
            <w:r>
              <w:rPr>
                <w:rFonts w:hint="eastAsia" w:ascii="宋体" w:hAnsi="宋体" w:eastAsia="宋体" w:cs="宋体"/>
                <w:color w:val="000000"/>
                <w:sz w:val="21"/>
                <w:szCs w:val="21"/>
              </w:rPr>
              <w:t>睡眠不深（中段失眠）</w:t>
            </w:r>
          </w:p>
        </w:tc>
        <w:tc>
          <w:tcPr>
            <w:tcW w:w="4300" w:type="dxa"/>
          </w:tcPr>
          <w:p w14:paraId="701A1396">
            <w:pPr>
              <w:rPr>
                <w:rFonts w:hint="eastAsia" w:ascii="宋体" w:hAnsi="宋体" w:eastAsia="宋体" w:cs="宋体"/>
                <w:sz w:val="21"/>
                <w:szCs w:val="21"/>
              </w:rPr>
            </w:pPr>
            <w:r>
              <w:rPr>
                <w:rFonts w:hint="eastAsia" w:ascii="宋体" w:hAnsi="宋体" w:eastAsia="宋体" w:cs="宋体"/>
                <w:color w:val="000000"/>
                <w:sz w:val="21"/>
                <w:szCs w:val="21"/>
              </w:rPr>
              <w:t>0分：无；1分：轻度——睡眠浅，多噩梦；2分：重度——半夜醒来（晚上12点以前）</w:t>
            </w:r>
          </w:p>
        </w:tc>
        <w:tc>
          <w:tcPr>
            <w:tcW w:w="2150" w:type="dxa"/>
          </w:tcPr>
          <w:p w14:paraId="5A007F43">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780A1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75185316">
            <w:pPr>
              <w:rPr>
                <w:rFonts w:hint="eastAsia" w:ascii="宋体" w:hAnsi="宋体" w:eastAsia="宋体" w:cs="宋体"/>
                <w:sz w:val="21"/>
                <w:szCs w:val="21"/>
              </w:rPr>
            </w:pPr>
            <w:r>
              <w:rPr>
                <w:rFonts w:hint="eastAsia" w:ascii="宋体" w:hAnsi="宋体" w:eastAsia="宋体" w:cs="宋体"/>
                <w:color w:val="000000"/>
                <w:sz w:val="21"/>
                <w:szCs w:val="21"/>
              </w:rPr>
              <w:t>早醒（末段失眠）</w:t>
            </w:r>
          </w:p>
        </w:tc>
        <w:tc>
          <w:tcPr>
            <w:tcW w:w="4300" w:type="dxa"/>
          </w:tcPr>
          <w:p w14:paraId="1C83FDE8">
            <w:pPr>
              <w:rPr>
                <w:rFonts w:hint="eastAsia" w:ascii="宋体" w:hAnsi="宋体" w:eastAsia="宋体" w:cs="宋体"/>
                <w:sz w:val="21"/>
                <w:szCs w:val="21"/>
              </w:rPr>
            </w:pPr>
            <w:r>
              <w:rPr>
                <w:rFonts w:hint="eastAsia" w:ascii="宋体" w:hAnsi="宋体" w:eastAsia="宋体" w:cs="宋体"/>
                <w:color w:val="000000"/>
                <w:sz w:val="21"/>
                <w:szCs w:val="21"/>
              </w:rPr>
              <w:t>0分：无；1分：轻度——有早醒，比平时早醒1小时，但能重新入睡；2分：重度——早醒后无法重新入睡</w:t>
            </w:r>
          </w:p>
        </w:tc>
        <w:tc>
          <w:tcPr>
            <w:tcW w:w="2150" w:type="dxa"/>
          </w:tcPr>
          <w:p w14:paraId="5FC8A89B">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36A31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30F98706">
            <w:pPr>
              <w:rPr>
                <w:rFonts w:hint="eastAsia" w:ascii="宋体" w:hAnsi="宋体" w:eastAsia="宋体" w:cs="宋体"/>
                <w:sz w:val="21"/>
                <w:szCs w:val="21"/>
              </w:rPr>
            </w:pPr>
            <w:r>
              <w:rPr>
                <w:rFonts w:hint="eastAsia" w:ascii="宋体" w:hAnsi="宋体" w:eastAsia="宋体" w:cs="宋体"/>
                <w:color w:val="000000"/>
                <w:sz w:val="21"/>
                <w:szCs w:val="21"/>
              </w:rPr>
              <w:t>工作和兴趣</w:t>
            </w:r>
          </w:p>
        </w:tc>
        <w:tc>
          <w:tcPr>
            <w:tcW w:w="4300" w:type="dxa"/>
          </w:tcPr>
          <w:p w14:paraId="2A1E46C3">
            <w:pPr>
              <w:rPr>
                <w:rFonts w:hint="eastAsia" w:ascii="宋体" w:hAnsi="宋体" w:eastAsia="宋体" w:cs="宋体"/>
                <w:sz w:val="21"/>
                <w:szCs w:val="21"/>
              </w:rPr>
            </w:pPr>
            <w:r>
              <w:rPr>
                <w:rFonts w:hint="eastAsia" w:ascii="宋体" w:hAnsi="宋体" w:eastAsia="宋体" w:cs="宋体"/>
                <w:color w:val="000000"/>
                <w:sz w:val="21"/>
                <w:szCs w:val="21"/>
              </w:rPr>
              <w:t>0分：无；1分：轻度——提问时才诉述；2分：中度——自发地直接或间接表达对活动、工作或学习失去兴趣；3分：重度——活动时间减少或成效下降，住院者每天参加活动不足3小时；4分：极重度——因目前的疾病而停止工作、学习，住院者不参加任何活动或没有他人帮助便不能完成病室日常事务</w:t>
            </w:r>
          </w:p>
        </w:tc>
        <w:tc>
          <w:tcPr>
            <w:tcW w:w="2150" w:type="dxa"/>
          </w:tcPr>
          <w:p w14:paraId="59ECAE4A">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3D7AD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21F2BBB2">
            <w:pPr>
              <w:rPr>
                <w:rFonts w:hint="eastAsia" w:ascii="宋体" w:hAnsi="宋体" w:eastAsia="宋体" w:cs="宋体"/>
                <w:sz w:val="21"/>
                <w:szCs w:val="21"/>
              </w:rPr>
            </w:pPr>
            <w:r>
              <w:rPr>
                <w:rFonts w:hint="eastAsia" w:ascii="宋体" w:hAnsi="宋体" w:eastAsia="宋体" w:cs="宋体"/>
                <w:color w:val="000000"/>
                <w:sz w:val="21"/>
                <w:szCs w:val="21"/>
              </w:rPr>
              <w:t>阻滞（思维和言语缓慢、注意力难以集中、主动性减退）</w:t>
            </w:r>
          </w:p>
        </w:tc>
        <w:tc>
          <w:tcPr>
            <w:tcW w:w="4300" w:type="dxa"/>
          </w:tcPr>
          <w:p w14:paraId="796DB960">
            <w:pPr>
              <w:rPr>
                <w:rFonts w:hint="eastAsia" w:ascii="宋体" w:hAnsi="宋体" w:eastAsia="宋体" w:cs="宋体"/>
                <w:sz w:val="21"/>
                <w:szCs w:val="21"/>
              </w:rPr>
            </w:pPr>
            <w:r>
              <w:rPr>
                <w:rFonts w:hint="eastAsia" w:ascii="宋体" w:hAnsi="宋体" w:eastAsia="宋体" w:cs="宋体"/>
                <w:color w:val="000000"/>
                <w:sz w:val="21"/>
                <w:szCs w:val="21"/>
              </w:rPr>
              <w:t>0分：无；1分：轻度——精神检查中发现轻度阻滞；2分：中度——精神检查中发现明显阻滞；3分：重度——精神检查进行困难；4分：极重度——完全不能回答问题（木僵）</w:t>
            </w:r>
          </w:p>
        </w:tc>
        <w:tc>
          <w:tcPr>
            <w:tcW w:w="2150" w:type="dxa"/>
          </w:tcPr>
          <w:p w14:paraId="6F2ADB36">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3EA89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10D7A03A">
            <w:pPr>
              <w:rPr>
                <w:rFonts w:hint="eastAsia" w:ascii="宋体" w:hAnsi="宋体" w:eastAsia="宋体" w:cs="宋体"/>
                <w:sz w:val="21"/>
                <w:szCs w:val="21"/>
              </w:rPr>
            </w:pPr>
            <w:r>
              <w:rPr>
                <w:rFonts w:hint="eastAsia" w:ascii="宋体" w:hAnsi="宋体" w:eastAsia="宋体" w:cs="宋体"/>
                <w:color w:val="000000"/>
                <w:sz w:val="21"/>
                <w:szCs w:val="21"/>
              </w:rPr>
              <w:t>激越</w:t>
            </w:r>
          </w:p>
        </w:tc>
        <w:tc>
          <w:tcPr>
            <w:tcW w:w="4300" w:type="dxa"/>
          </w:tcPr>
          <w:p w14:paraId="45696CCB">
            <w:pPr>
              <w:rPr>
                <w:rFonts w:hint="eastAsia" w:ascii="宋体" w:hAnsi="宋体" w:eastAsia="宋体" w:cs="宋体"/>
                <w:sz w:val="21"/>
                <w:szCs w:val="21"/>
              </w:rPr>
            </w:pPr>
            <w:r>
              <w:rPr>
                <w:rFonts w:hint="eastAsia" w:ascii="宋体" w:hAnsi="宋体" w:eastAsia="宋体" w:cs="宋体"/>
                <w:color w:val="000000"/>
                <w:sz w:val="21"/>
                <w:szCs w:val="21"/>
              </w:rPr>
              <w:t>0分：无；1分：轻度——检查时有些心神不定；2分：中度——明显心神不定或小动作多；3分：重度——不能静坐，检查中曾起立；4分：极重度——搓手、咬手指、扯头发、咬嘴唇</w:t>
            </w:r>
          </w:p>
        </w:tc>
        <w:tc>
          <w:tcPr>
            <w:tcW w:w="2150" w:type="dxa"/>
          </w:tcPr>
          <w:p w14:paraId="0CCABC16">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63EDA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0143D39B">
            <w:pPr>
              <w:rPr>
                <w:rFonts w:hint="eastAsia" w:ascii="宋体" w:hAnsi="宋体" w:eastAsia="宋体" w:cs="宋体"/>
                <w:sz w:val="21"/>
                <w:szCs w:val="21"/>
              </w:rPr>
            </w:pPr>
            <w:r>
              <w:rPr>
                <w:rFonts w:hint="eastAsia" w:ascii="宋体" w:hAnsi="宋体" w:eastAsia="宋体" w:cs="宋体"/>
                <w:color w:val="000000"/>
                <w:sz w:val="21"/>
                <w:szCs w:val="21"/>
              </w:rPr>
              <w:t>精神性焦虑</w:t>
            </w:r>
          </w:p>
        </w:tc>
        <w:tc>
          <w:tcPr>
            <w:tcW w:w="4300" w:type="dxa"/>
          </w:tcPr>
          <w:p w14:paraId="6DD2D71E">
            <w:pPr>
              <w:rPr>
                <w:rFonts w:hint="eastAsia" w:ascii="宋体" w:hAnsi="宋体" w:eastAsia="宋体" w:cs="宋体"/>
                <w:sz w:val="21"/>
                <w:szCs w:val="21"/>
              </w:rPr>
            </w:pPr>
            <w:r>
              <w:rPr>
                <w:rFonts w:hint="eastAsia" w:ascii="宋体" w:hAnsi="宋体" w:eastAsia="宋体" w:cs="宋体"/>
                <w:color w:val="000000"/>
                <w:sz w:val="21"/>
                <w:szCs w:val="21"/>
              </w:rPr>
              <w:t>0分：无；1分：轻度——问及时诉述；2分：中度——自发地表达；3分：重度——表情和言谈流露出明显忧虑；4分：极重度——明显惊恐</w:t>
            </w:r>
          </w:p>
        </w:tc>
        <w:tc>
          <w:tcPr>
            <w:tcW w:w="2150" w:type="dxa"/>
          </w:tcPr>
          <w:p w14:paraId="4973E27B">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6216D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67213045">
            <w:pPr>
              <w:rPr>
                <w:rFonts w:hint="eastAsia" w:ascii="宋体" w:hAnsi="宋体" w:eastAsia="宋体" w:cs="宋体"/>
                <w:sz w:val="21"/>
                <w:szCs w:val="21"/>
              </w:rPr>
            </w:pPr>
            <w:r>
              <w:rPr>
                <w:rFonts w:hint="eastAsia" w:ascii="宋体" w:hAnsi="宋体" w:eastAsia="宋体" w:cs="宋体"/>
                <w:color w:val="000000"/>
                <w:sz w:val="21"/>
                <w:szCs w:val="21"/>
              </w:rPr>
              <w:t>躯体性焦虑（口干、腹胀、腹泻、打呃、腹绞痛、心悸、头痛、过度换气和叹气、尿频、出汗等）</w:t>
            </w:r>
          </w:p>
        </w:tc>
        <w:tc>
          <w:tcPr>
            <w:tcW w:w="4300" w:type="dxa"/>
          </w:tcPr>
          <w:p w14:paraId="693505CC">
            <w:pPr>
              <w:rPr>
                <w:rFonts w:hint="eastAsia" w:ascii="宋体" w:hAnsi="宋体" w:eastAsia="宋体" w:cs="宋体"/>
                <w:sz w:val="21"/>
                <w:szCs w:val="21"/>
              </w:rPr>
            </w:pPr>
            <w:r>
              <w:rPr>
                <w:rFonts w:hint="eastAsia" w:ascii="宋体" w:hAnsi="宋体" w:eastAsia="宋体" w:cs="宋体"/>
                <w:color w:val="000000"/>
                <w:sz w:val="21"/>
                <w:szCs w:val="21"/>
              </w:rPr>
              <w:t>0分：无；1分：轻度——轻度躯体性焦虑症状；2分：中度——肯定存在躯体性焦虑症状，但影响不大；3分：重度——躯体性焦虑症状严重，明显影响生活；4分：极重度——躯体性焦虑症状极重，严重影响生活和活动</w:t>
            </w:r>
          </w:p>
        </w:tc>
        <w:tc>
          <w:tcPr>
            <w:tcW w:w="2150" w:type="dxa"/>
          </w:tcPr>
          <w:p w14:paraId="09C1B196">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134D8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64589FB3">
            <w:pPr>
              <w:rPr>
                <w:rFonts w:hint="eastAsia" w:ascii="宋体" w:hAnsi="宋体" w:eastAsia="宋体" w:cs="宋体"/>
                <w:sz w:val="21"/>
                <w:szCs w:val="21"/>
              </w:rPr>
            </w:pPr>
            <w:r>
              <w:rPr>
                <w:rFonts w:hint="eastAsia" w:ascii="宋体" w:hAnsi="宋体" w:eastAsia="宋体" w:cs="宋体"/>
                <w:color w:val="000000"/>
                <w:sz w:val="21"/>
                <w:szCs w:val="21"/>
              </w:rPr>
              <w:t>胃肠道症状</w:t>
            </w:r>
          </w:p>
        </w:tc>
        <w:tc>
          <w:tcPr>
            <w:tcW w:w="4300" w:type="dxa"/>
          </w:tcPr>
          <w:p w14:paraId="217D8356">
            <w:pPr>
              <w:rPr>
                <w:rFonts w:hint="eastAsia" w:ascii="宋体" w:hAnsi="宋体" w:eastAsia="宋体" w:cs="宋体"/>
                <w:sz w:val="21"/>
                <w:szCs w:val="21"/>
              </w:rPr>
            </w:pPr>
            <w:r>
              <w:rPr>
                <w:rFonts w:hint="eastAsia" w:ascii="宋体" w:hAnsi="宋体" w:eastAsia="宋体" w:cs="宋体"/>
                <w:color w:val="000000"/>
                <w:sz w:val="21"/>
                <w:szCs w:val="21"/>
              </w:rPr>
              <w:t>0分：无；1分：轻度——食欲减退，但不需要他人鼓励便自行进食；2分：重度——进食需他人催促或请求，需要应用泻药或助消化药</w:t>
            </w:r>
          </w:p>
        </w:tc>
        <w:tc>
          <w:tcPr>
            <w:tcW w:w="2150" w:type="dxa"/>
          </w:tcPr>
          <w:p w14:paraId="77611989">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4BAA0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6294E298">
            <w:pPr>
              <w:rPr>
                <w:rFonts w:hint="eastAsia" w:ascii="宋体" w:hAnsi="宋体" w:eastAsia="宋体" w:cs="宋体"/>
                <w:sz w:val="21"/>
                <w:szCs w:val="21"/>
              </w:rPr>
            </w:pPr>
            <w:r>
              <w:rPr>
                <w:rFonts w:hint="eastAsia" w:ascii="宋体" w:hAnsi="宋体" w:eastAsia="宋体" w:cs="宋体"/>
                <w:color w:val="000000"/>
                <w:sz w:val="21"/>
                <w:szCs w:val="21"/>
              </w:rPr>
              <w:t>全身症状</w:t>
            </w:r>
          </w:p>
        </w:tc>
        <w:tc>
          <w:tcPr>
            <w:tcW w:w="4300" w:type="dxa"/>
          </w:tcPr>
          <w:p w14:paraId="603A1144">
            <w:pPr>
              <w:rPr>
                <w:rFonts w:hint="eastAsia" w:ascii="宋体" w:hAnsi="宋体" w:eastAsia="宋体" w:cs="宋体"/>
                <w:sz w:val="21"/>
                <w:szCs w:val="21"/>
              </w:rPr>
            </w:pPr>
            <w:r>
              <w:rPr>
                <w:rFonts w:hint="eastAsia" w:ascii="宋体" w:hAnsi="宋体" w:eastAsia="宋体" w:cs="宋体"/>
                <w:color w:val="000000"/>
                <w:sz w:val="21"/>
                <w:szCs w:val="21"/>
              </w:rPr>
              <w:t>0分：无；1分：轻度——四肢、背部或颈部沉重感，背痛、头痛、肌肉疼痛，全身乏力或疲倦；2分：重度——症状明显</w:t>
            </w:r>
          </w:p>
        </w:tc>
        <w:tc>
          <w:tcPr>
            <w:tcW w:w="2150" w:type="dxa"/>
          </w:tcPr>
          <w:p w14:paraId="3A37593A">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134AA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58391178">
            <w:pPr>
              <w:rPr>
                <w:rFonts w:hint="eastAsia" w:ascii="宋体" w:hAnsi="宋体" w:eastAsia="宋体" w:cs="宋体"/>
                <w:sz w:val="21"/>
                <w:szCs w:val="21"/>
              </w:rPr>
            </w:pPr>
            <w:r>
              <w:rPr>
                <w:rFonts w:hint="eastAsia" w:ascii="宋体" w:hAnsi="宋体" w:eastAsia="宋体" w:cs="宋体"/>
                <w:color w:val="000000"/>
                <w:sz w:val="21"/>
                <w:szCs w:val="21"/>
              </w:rPr>
              <w:t>性症状（性欲减退、月经紊乱等）</w:t>
            </w:r>
          </w:p>
        </w:tc>
        <w:tc>
          <w:tcPr>
            <w:tcW w:w="4300" w:type="dxa"/>
          </w:tcPr>
          <w:p w14:paraId="2EB5ECD2">
            <w:pPr>
              <w:rPr>
                <w:rFonts w:hint="eastAsia" w:ascii="宋体" w:hAnsi="宋体" w:eastAsia="宋体" w:cs="宋体"/>
                <w:sz w:val="21"/>
                <w:szCs w:val="21"/>
              </w:rPr>
            </w:pPr>
            <w:r>
              <w:rPr>
                <w:rFonts w:hint="eastAsia" w:ascii="宋体" w:hAnsi="宋体" w:eastAsia="宋体" w:cs="宋体"/>
                <w:color w:val="000000"/>
                <w:sz w:val="21"/>
                <w:szCs w:val="21"/>
              </w:rPr>
              <w:t>0分：无；1分：轻度——轻度性功能障碍；2分：重度——重度性功能障碍</w:t>
            </w:r>
          </w:p>
        </w:tc>
        <w:tc>
          <w:tcPr>
            <w:tcW w:w="2150" w:type="dxa"/>
          </w:tcPr>
          <w:p w14:paraId="21C01F96">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4655E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6131DD4E">
            <w:pPr>
              <w:rPr>
                <w:rFonts w:hint="eastAsia" w:ascii="宋体" w:hAnsi="宋体" w:eastAsia="宋体" w:cs="宋体"/>
                <w:sz w:val="21"/>
                <w:szCs w:val="21"/>
              </w:rPr>
            </w:pPr>
            <w:r>
              <w:rPr>
                <w:rFonts w:hint="eastAsia" w:ascii="宋体" w:hAnsi="宋体" w:eastAsia="宋体" w:cs="宋体"/>
                <w:color w:val="000000"/>
                <w:sz w:val="21"/>
                <w:szCs w:val="21"/>
              </w:rPr>
              <w:t>疑病</w:t>
            </w:r>
          </w:p>
        </w:tc>
        <w:tc>
          <w:tcPr>
            <w:tcW w:w="4300" w:type="dxa"/>
          </w:tcPr>
          <w:p w14:paraId="1F3C74DD">
            <w:pPr>
              <w:rPr>
                <w:rFonts w:hint="eastAsia" w:ascii="宋体" w:hAnsi="宋体" w:eastAsia="宋体" w:cs="宋体"/>
                <w:sz w:val="21"/>
                <w:szCs w:val="21"/>
              </w:rPr>
            </w:pPr>
            <w:r>
              <w:rPr>
                <w:rFonts w:hint="eastAsia" w:ascii="宋体" w:hAnsi="宋体" w:eastAsia="宋体" w:cs="宋体"/>
                <w:color w:val="000000"/>
                <w:sz w:val="21"/>
                <w:szCs w:val="21"/>
              </w:rPr>
              <w:t>0分：无；1分：轻度——对身体过分关注；2分：中度——反复考虑健康问题；3分：重度——有疑病妄想；4分：极重度——伴幻觉的疑病妄想</w:t>
            </w:r>
          </w:p>
        </w:tc>
        <w:tc>
          <w:tcPr>
            <w:tcW w:w="2150" w:type="dxa"/>
          </w:tcPr>
          <w:p w14:paraId="3FD2B4E9">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35A61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70E18363">
            <w:pPr>
              <w:rPr>
                <w:rFonts w:hint="eastAsia" w:ascii="宋体" w:hAnsi="宋体" w:eastAsia="宋体" w:cs="宋体"/>
                <w:sz w:val="21"/>
                <w:szCs w:val="21"/>
              </w:rPr>
            </w:pPr>
            <w:r>
              <w:rPr>
                <w:rFonts w:hint="eastAsia" w:ascii="宋体" w:hAnsi="宋体" w:eastAsia="宋体" w:cs="宋体"/>
                <w:color w:val="000000"/>
                <w:sz w:val="21"/>
                <w:szCs w:val="21"/>
              </w:rPr>
              <w:t>体重减轻</w:t>
            </w:r>
          </w:p>
        </w:tc>
        <w:tc>
          <w:tcPr>
            <w:tcW w:w="4300" w:type="dxa"/>
          </w:tcPr>
          <w:p w14:paraId="5E157FA3">
            <w:pPr>
              <w:rPr>
                <w:rFonts w:hint="eastAsia" w:ascii="宋体" w:hAnsi="宋体" w:eastAsia="宋体" w:cs="宋体"/>
                <w:sz w:val="21"/>
                <w:szCs w:val="21"/>
              </w:rPr>
            </w:pPr>
            <w:r>
              <w:rPr>
                <w:rFonts w:hint="eastAsia" w:ascii="宋体" w:hAnsi="宋体" w:eastAsia="宋体" w:cs="宋体"/>
                <w:color w:val="000000"/>
                <w:sz w:val="21"/>
                <w:szCs w:val="21"/>
              </w:rPr>
              <w:t>0分：无；1分：轻度——按病史评定，一周内体重减轻0.5kg以上（按体重记录评定为一周内减轻0.25kg以上）；2分：重度——按病史评定，一周内体重减轻1kg以上（按体重记录评定为一周内减轻0.5kg以上）</w:t>
            </w:r>
          </w:p>
        </w:tc>
        <w:tc>
          <w:tcPr>
            <w:tcW w:w="2150" w:type="dxa"/>
          </w:tcPr>
          <w:p w14:paraId="278E727E">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14DFB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6A06A1F9">
            <w:pPr>
              <w:rPr>
                <w:rFonts w:hint="eastAsia" w:ascii="宋体" w:hAnsi="宋体" w:eastAsia="宋体" w:cs="宋体"/>
                <w:sz w:val="21"/>
                <w:szCs w:val="21"/>
              </w:rPr>
            </w:pPr>
            <w:r>
              <w:rPr>
                <w:rFonts w:hint="eastAsia" w:ascii="宋体" w:hAnsi="宋体" w:eastAsia="宋体" w:cs="宋体"/>
                <w:color w:val="000000"/>
                <w:sz w:val="21"/>
                <w:szCs w:val="21"/>
              </w:rPr>
              <w:t>自知力</w:t>
            </w:r>
          </w:p>
        </w:tc>
        <w:tc>
          <w:tcPr>
            <w:tcW w:w="4300" w:type="dxa"/>
          </w:tcPr>
          <w:p w14:paraId="024AC63D">
            <w:pPr>
              <w:rPr>
                <w:rFonts w:hint="eastAsia" w:ascii="宋体" w:hAnsi="宋体" w:eastAsia="宋体" w:cs="宋体"/>
                <w:sz w:val="21"/>
                <w:szCs w:val="21"/>
              </w:rPr>
            </w:pPr>
            <w:r>
              <w:rPr>
                <w:rFonts w:hint="eastAsia" w:ascii="宋体" w:hAnsi="宋体" w:eastAsia="宋体" w:cs="宋体"/>
                <w:color w:val="000000"/>
                <w:sz w:val="21"/>
                <w:szCs w:val="21"/>
              </w:rPr>
              <w:t>0分：自知力完好；1分：轻度——承认有病，但认为是环境等因素造成；2分：无自知力——完全否认有病</w:t>
            </w:r>
          </w:p>
        </w:tc>
        <w:tc>
          <w:tcPr>
            <w:tcW w:w="2150" w:type="dxa"/>
          </w:tcPr>
          <w:p w14:paraId="7E38B027">
            <w:pPr>
              <w:rPr>
                <w:rFonts w:hint="eastAsia" w:ascii="宋体" w:hAnsi="宋体" w:eastAsia="宋体" w:cs="宋体"/>
                <w:sz w:val="21"/>
                <w:szCs w:val="21"/>
              </w:rPr>
            </w:pPr>
            <w:r>
              <w:rPr>
                <w:rFonts w:hint="eastAsia" w:ascii="宋体" w:hAnsi="宋体" w:eastAsia="宋体" w:cs="宋体"/>
                <w:color w:val="000000"/>
                <w:sz w:val="21"/>
                <w:szCs w:val="21"/>
              </w:rPr>
              <w:t>____</w:t>
            </w:r>
          </w:p>
        </w:tc>
      </w:tr>
      <w:tr w14:paraId="14059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50" w:type="dxa"/>
          </w:tcPr>
          <w:p w14:paraId="5EDE165F">
            <w:pPr>
              <w:rPr>
                <w:rFonts w:hint="eastAsia" w:ascii="宋体" w:hAnsi="宋体" w:eastAsia="宋体" w:cs="宋体"/>
                <w:sz w:val="21"/>
                <w:szCs w:val="21"/>
              </w:rPr>
            </w:pPr>
            <w:r>
              <w:rPr>
                <w:rFonts w:hint="eastAsia" w:ascii="宋体" w:hAnsi="宋体" w:eastAsia="宋体" w:cs="宋体"/>
                <w:color w:val="000000"/>
                <w:sz w:val="21"/>
                <w:szCs w:val="21"/>
              </w:rPr>
              <w:t>总分（0分～52分）</w:t>
            </w:r>
          </w:p>
        </w:tc>
        <w:tc>
          <w:tcPr>
            <w:tcW w:w="4300" w:type="dxa"/>
          </w:tcPr>
          <w:p w14:paraId="7126DECF">
            <w:pPr>
              <w:rPr>
                <w:rFonts w:hint="eastAsia" w:ascii="宋体" w:hAnsi="宋体" w:eastAsia="宋体" w:cs="宋体"/>
                <w:sz w:val="21"/>
                <w:szCs w:val="21"/>
              </w:rPr>
            </w:pPr>
            <w:r>
              <w:rPr>
                <w:rFonts w:hint="eastAsia" w:ascii="宋体" w:hAnsi="宋体" w:eastAsia="宋体" w:cs="宋体"/>
                <w:color w:val="000000"/>
                <w:sz w:val="21"/>
                <w:szCs w:val="21"/>
              </w:rPr>
              <w:t>____分</w:t>
            </w:r>
          </w:p>
        </w:tc>
        <w:tc>
          <w:tcPr>
            <w:tcW w:w="2150" w:type="dxa"/>
          </w:tcPr>
          <w:p w14:paraId="06257DE8">
            <w:pPr>
              <w:rPr>
                <w:rFonts w:hint="eastAsia" w:ascii="宋体" w:hAnsi="宋体" w:eastAsia="宋体" w:cs="宋体"/>
                <w:sz w:val="21"/>
                <w:szCs w:val="21"/>
              </w:rPr>
            </w:pPr>
            <w:r>
              <w:rPr>
                <w:rFonts w:hint="eastAsia" w:ascii="宋体" w:hAnsi="宋体" w:eastAsia="宋体" w:cs="宋体"/>
                <w:color w:val="000000"/>
                <w:sz w:val="21"/>
                <w:szCs w:val="21"/>
              </w:rPr>
              <w:t>____</w:t>
            </w:r>
          </w:p>
        </w:tc>
      </w:tr>
    </w:tbl>
    <w:p w14:paraId="08EAE736">
      <w:pPr>
        <w:keepLines w:val="0"/>
        <w:spacing w:before="0" w:after="0" w:line="360" w:lineRule="auto"/>
        <w:jc w:val="left"/>
        <w:rPr>
          <w:rFonts w:ascii="宋体" w:hAnsi="宋体" w:eastAsia="宋体"/>
          <w:b w:val="0"/>
          <w:i w:val="0"/>
          <w:sz w:val="21"/>
          <w:szCs w:val="21"/>
        </w:rPr>
      </w:pPr>
    </w:p>
    <w:p w14:paraId="6E8597C3">
      <w:pPr>
        <w:keepLines w:val="0"/>
        <w:spacing w:before="120" w:after="60" w:line="360" w:lineRule="auto"/>
        <w:ind w:firstLine="420"/>
        <w:jc w:val="left"/>
        <w:rPr>
          <w:rFonts w:hint="eastAsia" w:ascii="宋体" w:hAnsi="宋体" w:eastAsia="宋体" w:cs="宋体"/>
          <w:b w:val="0"/>
          <w:bCs/>
          <w:sz w:val="21"/>
          <w:szCs w:val="21"/>
        </w:rPr>
      </w:pPr>
      <w:r>
        <w:rPr>
          <w:rFonts w:hint="eastAsia" w:ascii="宋体" w:hAnsi="宋体" w:eastAsia="宋体" w:cs="宋体"/>
          <w:b w:val="0"/>
          <w:bCs/>
          <w:i w:val="0"/>
          <w:color w:val="000000"/>
          <w:sz w:val="21"/>
          <w:szCs w:val="21"/>
        </w:rPr>
        <w:t>评分说明：</w:t>
      </w:r>
    </w:p>
    <w:p w14:paraId="1BBBD9B5">
      <w:pPr>
        <w:spacing w:before="0" w:after="0" w:line="360" w:lineRule="auto"/>
        <w:ind w:left="839" w:hanging="420"/>
        <w:jc w:val="left"/>
        <w:rPr>
          <w:rFonts w:hint="eastAsia" w:ascii="宋体" w:hAnsi="宋体" w:eastAsia="宋体" w:cs="宋体"/>
          <w:sz w:val="21"/>
          <w:szCs w:val="21"/>
        </w:rPr>
      </w:pPr>
      <w:r>
        <w:rPr>
          <w:rFonts w:hint="eastAsia" w:ascii="宋体" w:hAnsi="宋体" w:eastAsia="宋体" w:cs="宋体"/>
          <w:b w:val="0"/>
          <w:i w:val="0"/>
          <w:color w:val="000000"/>
          <w:sz w:val="21"/>
          <w:szCs w:val="21"/>
          <w:lang w:eastAsia="zh-CN"/>
        </w:rPr>
        <w:t>a）</w:t>
      </w:r>
      <w:r>
        <w:rPr>
          <w:rFonts w:hint="eastAsia" w:ascii="宋体" w:hAnsi="宋体" w:eastAsia="宋体" w:cs="宋体"/>
          <w:b w:val="0"/>
          <w:i w:val="0"/>
          <w:color w:val="000000"/>
          <w:sz w:val="21"/>
          <w:szCs w:val="21"/>
        </w:rPr>
        <w:t>大部分项目按0分～4分（0无、1轻度、2中度、3重度、4极重度）评定，入睡困难、睡眠不深、早醒、胃肠道症状、全身症状、性症状、体重减轻、自知力按0分～2分评定；</w:t>
      </w:r>
    </w:p>
    <w:p w14:paraId="12B75DCA">
      <w:pPr>
        <w:spacing w:before="0" w:after="0" w:line="360" w:lineRule="auto"/>
        <w:ind w:left="839" w:hanging="420"/>
        <w:jc w:val="left"/>
        <w:rPr>
          <w:rFonts w:hint="eastAsia" w:ascii="宋体" w:hAnsi="宋体" w:eastAsia="宋体" w:cs="宋体"/>
          <w:sz w:val="21"/>
          <w:szCs w:val="21"/>
        </w:rPr>
      </w:pPr>
      <w:r>
        <w:rPr>
          <w:rFonts w:hint="eastAsia" w:ascii="宋体" w:hAnsi="宋体" w:eastAsia="宋体" w:cs="宋体"/>
          <w:b w:val="0"/>
          <w:i w:val="0"/>
          <w:color w:val="000000"/>
          <w:sz w:val="21"/>
          <w:szCs w:val="21"/>
          <w:lang w:eastAsia="zh-CN"/>
        </w:rPr>
        <w:t>b）</w:t>
      </w:r>
      <w:r>
        <w:rPr>
          <w:rFonts w:hint="eastAsia" w:ascii="宋体" w:hAnsi="宋体" w:eastAsia="宋体" w:cs="宋体"/>
          <w:b w:val="0"/>
          <w:i w:val="0"/>
          <w:color w:val="000000"/>
          <w:sz w:val="21"/>
          <w:szCs w:val="21"/>
        </w:rPr>
        <w:t>总分＜7分为正常，7分～17分为可能有抑郁，17分～24分为肯定有抑郁（轻中度），＞24分为严重抑郁；</w:t>
      </w:r>
    </w:p>
    <w:p w14:paraId="5E362AAA">
      <w:pPr>
        <w:spacing w:before="0" w:after="0" w:line="360" w:lineRule="auto"/>
        <w:ind w:left="839" w:hanging="420"/>
        <w:jc w:val="left"/>
        <w:rPr>
          <w:rFonts w:ascii="宋体" w:hAnsi="宋体" w:eastAsia="宋体"/>
          <w:b w:val="0"/>
          <w:i w:val="0"/>
          <w:sz w:val="21"/>
          <w:szCs w:val="21"/>
        </w:rPr>
      </w:pPr>
      <w:r>
        <w:rPr>
          <w:rFonts w:hint="eastAsia" w:ascii="宋体" w:hAnsi="宋体" w:eastAsia="宋体" w:cs="宋体"/>
          <w:b w:val="0"/>
          <w:i w:val="0"/>
          <w:color w:val="000000"/>
          <w:sz w:val="21"/>
          <w:szCs w:val="21"/>
          <w:lang w:eastAsia="zh-CN"/>
        </w:rPr>
        <w:t>c）宜由经过培训的专业人员结合访谈和观察评定，并结合临床资料综合判断。</w:t>
      </w:r>
    </w:p>
    <w:p w14:paraId="3470E101">
      <w:pPr>
        <w:spacing w:line="360" w:lineRule="auto"/>
        <w:ind w:firstLine="420"/>
        <w:rPr>
          <w:rFonts w:ascii="宋体" w:hAnsi="宋体" w:eastAsia="宋体"/>
          <w:b w:val="0"/>
          <w:i w:val="0"/>
          <w:sz w:val="21"/>
          <w:szCs w:val="21"/>
        </w:rPr>
      </w:pPr>
      <w:r>
        <w:rPr>
          <w:rFonts w:ascii="Times New Roman" w:hAnsi="Times New Roman" w:eastAsia="宋体"/>
          <w:b w:val="0"/>
          <w:i w:val="0"/>
          <w:color w:val="000000"/>
          <w:sz w:val="24"/>
          <w:szCs w:val="24"/>
        </w:rPr>
        <w:br w:type="page"/>
      </w:r>
    </w:p>
    <w:p w14:paraId="03D672C6">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bookmarkStart w:id="77" w:name="_Toc24367"/>
      <w:bookmarkStart w:id="78" w:name="_Toc29380"/>
    </w:p>
    <w:p w14:paraId="6475091E">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p>
    <w:p w14:paraId="3CF8E5FF">
      <w:pPr>
        <w:pStyle w:val="99"/>
        <w:pBdr>
          <w:top w:val="none" w:color="auto" w:sz="0" w:space="0"/>
          <w:left w:val="none" w:color="auto" w:sz="0" w:space="0"/>
          <w:bottom w:val="none" w:color="auto" w:sz="0" w:space="0"/>
          <w:right w:val="none" w:color="auto" w:sz="0" w:space="0"/>
        </w:pBdr>
        <w:tabs>
          <w:tab w:val="clear" w:pos="4201"/>
          <w:tab w:val="clear" w:pos="9298"/>
        </w:tabs>
        <w:rPr>
          <w:rFonts w:hint="eastAsia"/>
          <w:lang w:val="en-US" w:eastAsia="zh-CN"/>
        </w:rPr>
      </w:pPr>
      <w:r>
        <w:rPr>
          <w:rFonts w:hint="eastAsia"/>
          <w:lang w:val="en-US" w:eastAsia="zh-CN"/>
        </w:rPr>
        <w:t>参  考  文  献</w:t>
      </w:r>
      <w:bookmarkEnd w:id="77"/>
      <w:bookmarkEnd w:id="78"/>
    </w:p>
    <w:p w14:paraId="40359232">
      <w:pPr>
        <w:pStyle w:val="24"/>
        <w:rPr>
          <w:rFonts w:hint="eastAsia"/>
          <w:lang w:val="en-US" w:eastAsia="zh-CN"/>
        </w:rPr>
      </w:pPr>
    </w:p>
    <w:p w14:paraId="023F45F3">
      <w:pPr>
        <w:pStyle w:val="24"/>
        <w:pBdr>
          <w:top w:val="none" w:color="auto" w:sz="0" w:space="0"/>
          <w:left w:val="none" w:color="auto" w:sz="0" w:space="0"/>
          <w:bottom w:val="none" w:color="auto" w:sz="0" w:space="0"/>
          <w:right w:val="none" w:color="auto" w:sz="0" w:space="0"/>
        </w:pBdr>
      </w:pPr>
      <w:r>
        <w:t>[1]  国家市场监督管理总局. 玩具安全 第1部分：基本规范: GB 6675.1—2014[S]. 北京: 中国标准出版社, 2014.</w:t>
      </w:r>
    </w:p>
    <w:p w14:paraId="7B584040">
      <w:pPr>
        <w:pStyle w:val="24"/>
        <w:pBdr>
          <w:top w:val="none" w:color="auto" w:sz="0" w:space="0"/>
          <w:left w:val="none" w:color="auto" w:sz="0" w:space="0"/>
          <w:bottom w:val="none" w:color="auto" w:sz="0" w:space="0"/>
          <w:right w:val="none" w:color="auto" w:sz="0" w:space="0"/>
        </w:pBdr>
      </w:pPr>
      <w:r>
        <w:t>[2]  国家市场监督管理总局. 玩具适用年龄判定指南: GB/T 28022—2021[S]. 北京: 中国标准出版社, 2021.</w:t>
      </w:r>
    </w:p>
    <w:p w14:paraId="3EE0188D">
      <w:pPr>
        <w:pStyle w:val="24"/>
        <w:pBdr>
          <w:top w:val="none" w:color="auto" w:sz="0" w:space="0"/>
          <w:left w:val="none" w:color="auto" w:sz="0" w:space="0"/>
          <w:bottom w:val="none" w:color="auto" w:sz="0" w:space="0"/>
          <w:right w:val="none" w:color="auto" w:sz="0" w:space="0"/>
        </w:pBdr>
      </w:pPr>
      <w:r>
        <w:t>[3]  宋鲁平, 李延峰, 石婧, 等. 阿尔茨海默病康复管理中国专家共识(2019)[J]. 中华老年医学杂志, 2020, 39(1): 9-19.</w:t>
      </w:r>
    </w:p>
    <w:p w14:paraId="3CBFBE47">
      <w:pPr>
        <w:pStyle w:val="24"/>
        <w:pBdr>
          <w:top w:val="none" w:color="auto" w:sz="0" w:space="0"/>
          <w:left w:val="none" w:color="auto" w:sz="0" w:space="0"/>
          <w:bottom w:val="none" w:color="auto" w:sz="0" w:space="0"/>
          <w:right w:val="none" w:color="auto" w:sz="0" w:space="0"/>
        </w:pBdr>
      </w:pPr>
      <w:r>
        <w:t>[4]  宋鲁平, 马晓伟, 王国辉, 等. 阿尔茨海默病多元康复干预中国专家共识(2025)[J]. 阿尔茨海默病及相关病杂志, 2025, 8(3): 147-163.</w:t>
      </w:r>
    </w:p>
    <w:p w14:paraId="10E9AC9E">
      <w:pPr>
        <w:pStyle w:val="24"/>
        <w:pBdr>
          <w:top w:val="none" w:color="auto" w:sz="0" w:space="0"/>
          <w:left w:val="none" w:color="auto" w:sz="0" w:space="0"/>
          <w:bottom w:val="none" w:color="auto" w:sz="0" w:space="0"/>
          <w:right w:val="none" w:color="auto" w:sz="0" w:space="0"/>
        </w:pBdr>
        <w:rPr>
          <w:rFonts w:hint="eastAsia"/>
          <w:lang w:val="en-US" w:eastAsia="zh-CN"/>
        </w:rPr>
      </w:pPr>
      <w:r>
        <w:rPr>
          <w:rFonts w:hint="eastAsia"/>
          <w:lang w:val="en-US" w:eastAsia="zh-CN"/>
        </w:rPr>
        <w:t>[5]  宋鲁平, 杨华露, 刘春艳, 等. 中国认知功能社区筛查及管理指南(2025版)[J]. 中华老年医学杂志, 2025, 44(11): 1472-1490.</w:t>
      </w:r>
    </w:p>
    <w:p w14:paraId="05E62AEC">
      <w:pPr>
        <w:pStyle w:val="24"/>
        <w:pBdr>
          <w:top w:val="none" w:color="auto" w:sz="0" w:space="0"/>
          <w:left w:val="none" w:color="auto" w:sz="0" w:space="0"/>
          <w:bottom w:val="none" w:color="auto" w:sz="0" w:space="0"/>
          <w:right w:val="none" w:color="auto" w:sz="0" w:space="0"/>
        </w:pBdr>
      </w:pPr>
      <w:r>
        <w:t>[6]  世界卫生组织. 国际疾病分类第十一次修订本(ICD-11)[S]. 日内瓦: WHO, 2019.</w:t>
      </w:r>
    </w:p>
    <w:p w14:paraId="7D99CB44">
      <w:pPr>
        <w:pStyle w:val="24"/>
        <w:pBdr>
          <w:top w:val="none" w:color="auto" w:sz="0" w:space="0"/>
          <w:left w:val="none" w:color="auto" w:sz="0" w:space="0"/>
          <w:bottom w:val="none" w:color="auto" w:sz="0" w:space="0"/>
          <w:right w:val="none" w:color="auto" w:sz="0" w:space="0"/>
        </w:pBdr>
      </w:pPr>
      <w:r>
        <w:t>[7]  张明园. 精神科评定量表手册[M]. 长沙: 湖南科学技术出版社, 2015.</w:t>
      </w:r>
    </w:p>
    <w:p w14:paraId="24D54AE8">
      <w:pPr>
        <w:pStyle w:val="24"/>
        <w:pBdr>
          <w:top w:val="none" w:color="auto" w:sz="0" w:space="0"/>
          <w:left w:val="none" w:color="auto" w:sz="0" w:space="0"/>
          <w:bottom w:val="none" w:color="auto" w:sz="0" w:space="0"/>
          <w:right w:val="none" w:color="auto" w:sz="0" w:space="0"/>
        </w:pBdr>
      </w:pPr>
      <w:r>
        <w:t>[8]  中国残疾人康复协会. 认知障碍康复指南[S]. 北京: 人民卫生出版社, 2022.</w:t>
      </w:r>
    </w:p>
    <w:p w14:paraId="29D06CAB">
      <w:pPr>
        <w:pStyle w:val="24"/>
        <w:pBdr>
          <w:top w:val="none" w:color="auto" w:sz="0" w:space="0"/>
          <w:left w:val="none" w:color="auto" w:sz="0" w:space="0"/>
          <w:bottom w:val="none" w:color="auto" w:sz="0" w:space="0"/>
          <w:right w:val="none" w:color="auto" w:sz="0" w:space="0"/>
        </w:pBdr>
      </w:pPr>
      <w:r>
        <w:t>[9]  中国老龄协会. 中国老龄产业发展报告[R]. 北京: 社会科学文献出版社, 2023.</w:t>
      </w:r>
    </w:p>
    <w:p w14:paraId="40039A7E">
      <w:pPr>
        <w:pStyle w:val="24"/>
        <w:pBdr>
          <w:top w:val="none" w:color="auto" w:sz="0" w:space="0"/>
          <w:left w:val="none" w:color="auto" w:sz="0" w:space="0"/>
          <w:bottom w:val="none" w:color="auto" w:sz="0" w:space="0"/>
          <w:right w:val="none" w:color="auto" w:sz="0" w:space="0"/>
        </w:pBdr>
      </w:pPr>
      <w:r>
        <w:t>[10]  ISO 9999:2022 Technical aids for persons with disability — Classification and terminology[S]. Geneva: ISO, 2022.</w:t>
      </w:r>
    </w:p>
    <w:p w14:paraId="41092BCC">
      <w:pPr>
        <w:pStyle w:val="24"/>
      </w:pPr>
    </w:p>
    <w:p w14:paraId="12A68E9C">
      <w:pPr>
        <w:widowControl/>
        <w:spacing w:line="360" w:lineRule="auto"/>
        <w:jc w:val="center"/>
        <w:rPr>
          <w:rFonts w:hint="default" w:ascii="黑体" w:eastAsia="黑体"/>
          <w:kern w:val="0"/>
          <w:sz w:val="32"/>
          <w:szCs w:val="20"/>
          <w:lang w:val="en-US" w:eastAsia="zh-CN"/>
        </w:rPr>
      </w:pPr>
      <w:r>
        <w:rPr>
          <w:rFonts w:hint="eastAsia" w:ascii="Times New Roman" w:hAnsi="Times New Roman" w:eastAsia="宋体"/>
          <w:b/>
          <w:color w:val="000000"/>
          <w:kern w:val="0"/>
          <w:sz w:val="24"/>
          <w:szCs w:val="24"/>
          <w:lang w:eastAsia="zh-CN"/>
        </w:rPr>
        <w:t>———————</w:t>
      </w:r>
    </w:p>
    <w:bookmarkEnd w:id="3"/>
    <w:p w14:paraId="6CEAE3FC">
      <w:pPr>
        <w:widowControl/>
        <w:jc w:val="left"/>
        <w:rPr>
          <w:rFonts w:ascii="黑体" w:eastAsia="黑体"/>
          <w:kern w:val="0"/>
          <w:sz w:val="32"/>
          <w:szCs w:val="20"/>
        </w:rPr>
      </w:pPr>
    </w:p>
    <w:sectPr>
      <w:headerReference r:id="rId9" w:type="default"/>
      <w:footerReference r:id="rId10" w:type="default"/>
      <w:footerReference r:id="rId11" w:type="even"/>
      <w:pgSz w:w="11906" w:h="16838"/>
      <w:pgMar w:top="567" w:right="1416" w:bottom="1134" w:left="1418" w:header="1418" w:footer="1134" w:gutter="0"/>
      <w:pgNumType w:fmt="decimal"/>
      <w:cols w:space="425" w:num="1"/>
      <w:formProt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ongti SC Blac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C02DB">
    <w:pPr>
      <w:pStyle w:val="87"/>
      <w:jc w:val="right"/>
    </w:pPr>
    <w:r>
      <w:fldChar w:fldCharType="begin"/>
    </w:r>
    <w:r>
      <w:instrText xml:space="preserve"> PAGE  \* MERGEFORMAT </w:instrText>
    </w:r>
    <w:r>
      <w:fldChar w:fldCharType="separate"/>
    </w:r>
    <w: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B710">
    <w:pPr>
      <w:pStyle w:val="71"/>
    </w:pPr>
    <w:r>
      <w:rPr>
        <w:color w:val="000000"/>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23A21">
                          <w:pPr>
                            <w:pStyle w:val="71"/>
                          </w:pPr>
                          <w:r>
                            <w:rPr>
                              <w:color w:val="000000"/>
                            </w:rPr>
                            <w:fldChar w:fldCharType="begin"/>
                          </w:r>
                          <w:r>
                            <w:rPr>
                              <w:color w:val="000000"/>
                            </w:rPr>
                            <w:instrText xml:space="preserve"> PAGE  \* MERGEFORMAT </w:instrText>
                          </w:r>
                          <w:r>
                            <w:rPr>
                              <w:color w:val="000000"/>
                            </w:rPr>
                            <w:fldChar w:fldCharType="separate"/>
                          </w:r>
                          <w:r>
                            <w:rPr>
                              <w:color w:val="000000"/>
                            </w:rPr>
                            <w:t>3</w:t>
                          </w:r>
                          <w:r>
                            <w:rPr>
                              <w:color w:val="00000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0E23A21">
                    <w:pPr>
                      <w:pStyle w:val="71"/>
                    </w:pPr>
                    <w:r>
                      <w:rPr>
                        <w:color w:val="000000"/>
                      </w:rPr>
                      <w:fldChar w:fldCharType="begin"/>
                    </w:r>
                    <w:r>
                      <w:rPr>
                        <w:color w:val="000000"/>
                      </w:rPr>
                      <w:instrText xml:space="preserve"> PAGE  \* MERGEFORMAT </w:instrText>
                    </w:r>
                    <w:r>
                      <w:rPr>
                        <w:color w:val="000000"/>
                      </w:rPr>
                      <w:fldChar w:fldCharType="separate"/>
                    </w:r>
                    <w:r>
                      <w:rPr>
                        <w:color w:val="000000"/>
                      </w:rPr>
                      <w:t>3</w:t>
                    </w:r>
                    <w:r>
                      <w:rPr>
                        <w:color w:val="000000"/>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22948">
    <w:pPr>
      <w:pStyle w:val="87"/>
      <w:jc w:val="right"/>
    </w:pPr>
    <w:r>
      <w:rPr>
        <w:color w:val="000000"/>
      </w:rPr>
      <w:fldChar w:fldCharType="begin"/>
    </w:r>
    <w:r>
      <w:rPr>
        <w:color w:val="000000"/>
      </w:rPr>
      <w:instrText xml:space="preserve"> PAGE  \* MERGEFORMAT </w:instrText>
    </w:r>
    <w:r>
      <w:rPr>
        <w:color w:val="000000"/>
      </w:rPr>
      <w:fldChar w:fldCharType="separate"/>
    </w:r>
    <w:r>
      <w:rPr>
        <w:color w:val="000000"/>
      </w:rPr>
      <w:t>4</w:t>
    </w:r>
    <w:r>
      <w:rPr>
        <w:color w:val="00000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772FE">
    <w:pPr>
      <w:pStyle w:val="18"/>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98893">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24398893">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4E43B">
    <w:pPr>
      <w:pStyle w:val="87"/>
      <w:ind w:left="0" w:leftChars="0" w:firstLine="0" w:firstLineChars="0"/>
      <w:rPr>
        <w:rFonts w:hint="eastAsia" w:eastAsia="宋体"/>
        <w:lang w:val="en-US" w:eastAsia="zh-CN"/>
      </w:rPr>
    </w:pPr>
    <w:r>
      <w:rPr>
        <w:sz w:val="18"/>
      </w:rPr>
      <mc:AlternateContent>
        <mc:Choice Requires="wps">
          <w:drawing>
            <wp:anchor distT="0" distB="0" distL="114300" distR="114300" simplePos="0" relativeHeight="251668480" behindDoc="0" locked="0" layoutInCell="1" allowOverlap="1">
              <wp:simplePos x="0" y="0"/>
              <wp:positionH relativeFrom="margin">
                <wp:posOffset>0</wp:posOffset>
              </wp:positionH>
              <wp:positionV relativeFrom="paragraph">
                <wp:posOffset>0</wp:posOffset>
              </wp:positionV>
              <wp:extent cx="259715" cy="137795"/>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25971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E2C434">
                          <w:pPr>
                            <w:pStyle w:val="1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0.85pt;width:20.45pt;mso-position-horizontal-relative:margin;z-index:251668480;mso-width-relative:page;mso-height-relative:page;" filled="f" stroked="f" coordsize="21600,21600" o:gfxdata="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ORPmnTAAAAAwEAAA8AAAAAAAAAAQAgAAAAIgAAAGRycy9kb3ducmV2&#10;LnhtbFBLAQIUABQAAAAIAIdO4kC/Fj3ZOgIAAGMEAAAOAAAAAAAAAAEAIAAAACIBAABkcnMvZTJv&#10;RG9jLnhtbFBLBQYAAAAABgAGAFkBAADOBQAAAAA=&#10;">
              <v:fill on="f" focussize="0,0"/>
              <v:stroke on="f" weight="0.5pt"/>
              <v:imagedata o:title=""/>
              <o:lock v:ext="edit" aspectratio="f"/>
              <v:textbox inset="0mm,0mm,0mm,0mm">
                <w:txbxContent>
                  <w:p w14:paraId="40E2C434">
                    <w:pPr>
                      <w:pStyle w:val="18"/>
                    </w:pPr>
                    <w:r>
                      <w:fldChar w:fldCharType="begin"/>
                    </w:r>
                    <w:r>
                      <w:instrText xml:space="preserve"> PAGE  \* MERGEFORMAT </w:instrText>
                    </w:r>
                    <w:r>
                      <w:fldChar w:fldCharType="separate"/>
                    </w:r>
                    <w:r>
                      <w:t>6</w:t>
                    </w:r>
                    <w:r>
                      <w:fldChar w:fldCharType="end"/>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inside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4E677">
                          <w:pPr>
                            <w:pStyle w:val="18"/>
                            <w:jc w:val="center"/>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4C34E677">
                    <w:pPr>
                      <w:pStyle w:val="18"/>
                      <w:jc w:val="center"/>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inside</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4CFC3F">
                          <w:pPr>
                            <w:pStyle w:val="8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224CFC3F">
                    <w:pPr>
                      <w:pStyle w:val="87"/>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AAFB5">
    <w:pPr>
      <w:pStyle w:val="72"/>
      <w:jc w:val="left"/>
      <w:rPr>
        <w:rFonts w:hAnsi="黑体"/>
      </w:rPr>
    </w:pPr>
    <w:r>
      <w:rPr>
        <w:rFonts w:hint="eastAsia" w:hAnsi="黑体"/>
      </w:rPr>
      <w:t>T/BAS XXX-202X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C09E2">
    <w:pPr>
      <w:pStyle w:val="72"/>
      <w:ind w:firstLine="1050"/>
      <w:rPr>
        <w:rFonts w:hint="eastAsia" w:hAnsi="黑体" w:eastAsia="黑体"/>
        <w:lang w:eastAsia="zh-CN"/>
      </w:rPr>
    </w:pPr>
    <w:r>
      <w:rPr>
        <w:rFonts w:hint="eastAsia" w:hAnsi="黑体"/>
        <w:color w:val="000000"/>
      </w:rPr>
      <w:t>T</w:t>
    </w:r>
    <w:r>
      <w:rPr>
        <w:rFonts w:hAnsi="黑体"/>
        <w:color w:val="000000"/>
      </w:rPr>
      <w:t>/</w:t>
    </w:r>
    <w:r>
      <w:rPr>
        <w:rFonts w:hint="eastAsia" w:hAnsi="黑体"/>
        <w:color w:val="000000"/>
      </w:rPr>
      <w:t>BAS</w:t>
    </w:r>
    <w:r>
      <w:rPr>
        <w:rFonts w:hAnsi="黑体"/>
        <w:color w:val="000000"/>
      </w:rPr>
      <w:t xml:space="preserve"> </w:t>
    </w:r>
    <w:r>
      <w:rPr>
        <w:rFonts w:hint="eastAsia" w:hAnsi="黑体"/>
        <w:color w:val="000000"/>
        <w:lang w:val="en-US" w:eastAsia="zh-CN"/>
      </w:rPr>
      <w:t>XXX-</w:t>
    </w:r>
    <w:r>
      <w:rPr>
        <w:rFonts w:hAnsi="黑体"/>
        <w:color w:val="000000"/>
      </w:rPr>
      <w:t>20</w:t>
    </w:r>
    <w:r>
      <w:rPr>
        <w:rFonts w:hint="eastAsia" w:hAnsi="黑体"/>
        <w:color w:val="000000"/>
      </w:rPr>
      <w:t>2</w:t>
    </w:r>
    <w:r>
      <w:rPr>
        <w:rFonts w:hint="eastAsia" w:hAnsi="黑体"/>
        <w:color w:val="000000"/>
        <w:lang w:val="en-US" w:eastAsia="zh-CN"/>
      </w:rPr>
      <w:t>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EEF49">
    <w:pPr>
      <w:pStyle w:val="72"/>
      <w:jc w:val="left"/>
      <w:rPr>
        <w:rFonts w:hAnsi="黑体"/>
      </w:rPr>
    </w:pPr>
    <w:r>
      <w:rPr>
        <w:rFonts w:hint="eastAsia" w:hAnsi="黑体"/>
        <w:color w:val="000000"/>
      </w:rPr>
      <w:t>T/BAS XXX</w:t>
    </w:r>
    <w:r>
      <w:rPr>
        <w:rFonts w:hint="eastAsia" w:hAnsi="黑体"/>
        <w:color w:val="000000"/>
        <w:lang w:val="en-US" w:eastAsia="zh-CN"/>
      </w:rPr>
      <w:t>-</w:t>
    </w:r>
    <w:r>
      <w:rPr>
        <w:rFonts w:hint="eastAsia" w:hAnsi="黑体"/>
        <w:color w:val="000000"/>
      </w:rPr>
      <w:t>202X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0AF89">
    <w:pPr>
      <w:pStyle w:val="72"/>
      <w:ind w:firstLine="1050"/>
      <w:rPr>
        <w:rFonts w:hint="eastAsia" w:hAnsi="黑体" w:eastAsia="黑体"/>
        <w:lang w:eastAsia="zh-CN"/>
      </w:rPr>
    </w:pPr>
    <w:r>
      <w:rPr>
        <w:rFonts w:hint="eastAsia" w:hAnsi="黑体"/>
      </w:rPr>
      <w:t>T</w:t>
    </w:r>
    <w:r>
      <w:rPr>
        <w:rFonts w:hAnsi="黑体"/>
      </w:rPr>
      <w:t>/</w:t>
    </w:r>
    <w:r>
      <w:rPr>
        <w:rFonts w:hint="eastAsia" w:hAnsi="黑体"/>
      </w:rPr>
      <w:t>BAS</w:t>
    </w:r>
    <w:r>
      <w:rPr>
        <w:rFonts w:hAnsi="黑体"/>
      </w:rPr>
      <w:t xml:space="preserve"> </w:t>
    </w:r>
    <w:r>
      <w:rPr>
        <w:rFonts w:hint="eastAsia" w:hAnsi="黑体"/>
        <w:lang w:val="en-US" w:eastAsia="zh-CN"/>
      </w:rPr>
      <w:t>XXX</w:t>
    </w:r>
    <w:r>
      <w:rPr>
        <w:rFonts w:hAnsi="黑体"/>
      </w:rPr>
      <w:t>-20</w:t>
    </w:r>
    <w:r>
      <w:rPr>
        <w:rFonts w:hint="eastAsia" w:hAnsi="黑体"/>
      </w:rPr>
      <w:t>2</w:t>
    </w:r>
    <w:r>
      <w:rPr>
        <w:rFonts w:hint="eastAsia" w:hAnsi="黑体"/>
        <w:lang w:val="en-US" w:eastAsia="zh-CN"/>
      </w:rPr>
      <w:t>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952887"/>
    <w:multiLevelType w:val="multilevel"/>
    <w:tmpl w:val="0A952887"/>
    <w:lvl w:ilvl="0" w:tentative="0">
      <w:start w:val="1"/>
      <w:numFmt w:val="decimal"/>
      <w:pStyle w:val="84"/>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
    <w:nsid w:val="0F805D97"/>
    <w:multiLevelType w:val="multilevel"/>
    <w:tmpl w:val="0F805D97"/>
    <w:lvl w:ilvl="0" w:tentative="0">
      <w:start w:val="1"/>
      <w:numFmt w:val="none"/>
      <w:pStyle w:val="79"/>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
    <w:nsid w:val="1FC91163"/>
    <w:multiLevelType w:val="multilevel"/>
    <w:tmpl w:val="1FC91163"/>
    <w:lvl w:ilvl="0" w:tentative="0">
      <w:start w:val="1"/>
      <w:numFmt w:val="decimal"/>
      <w:pStyle w:val="51"/>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0"/>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52"/>
      <w:suff w:val="nothing"/>
      <w:lvlText w:val="%1.%2.%3　"/>
      <w:lvlJc w:val="left"/>
      <w:pPr>
        <w:ind w:left="0" w:firstLine="0"/>
      </w:pPr>
      <w:rPr>
        <w:rFonts w:hint="eastAsia" w:ascii="黑体" w:hAnsi="Times New Roman" w:eastAsia="黑体"/>
        <w:b w:val="0"/>
        <w:i w:val="0"/>
        <w:sz w:val="21"/>
      </w:rPr>
    </w:lvl>
    <w:lvl w:ilvl="3" w:tentative="0">
      <w:start w:val="1"/>
      <w:numFmt w:val="decimal"/>
      <w:pStyle w:val="53"/>
      <w:suff w:val="nothing"/>
      <w:lvlText w:val="%1.%2.%3.%4　"/>
      <w:lvlJc w:val="left"/>
      <w:pPr>
        <w:ind w:left="0" w:firstLine="0"/>
      </w:pPr>
      <w:rPr>
        <w:rFonts w:hint="eastAsia" w:ascii="黑体" w:hAnsi="Times New Roman" w:eastAsia="黑体"/>
        <w:b w:val="0"/>
        <w:i w:val="0"/>
        <w:sz w:val="21"/>
      </w:rPr>
    </w:lvl>
    <w:lvl w:ilvl="4" w:tentative="0">
      <w:start w:val="1"/>
      <w:numFmt w:val="decimal"/>
      <w:pStyle w:val="54"/>
      <w:suff w:val="nothing"/>
      <w:lvlText w:val="%1.%2.%3.%4.%5　"/>
      <w:lvlJc w:val="left"/>
      <w:pPr>
        <w:ind w:left="0" w:firstLine="0"/>
      </w:pPr>
      <w:rPr>
        <w:rFonts w:hint="eastAsia" w:ascii="黑体" w:hAnsi="Times New Roman" w:eastAsia="黑体"/>
        <w:b w:val="0"/>
        <w:i w:val="0"/>
        <w:sz w:val="21"/>
      </w:rPr>
    </w:lvl>
    <w:lvl w:ilvl="5" w:tentative="0">
      <w:start w:val="1"/>
      <w:numFmt w:val="decimal"/>
      <w:pStyle w:val="55"/>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4B435DB"/>
    <w:multiLevelType w:val="multilevel"/>
    <w:tmpl w:val="24B435DB"/>
    <w:lvl w:ilvl="0" w:tentative="0">
      <w:start w:val="1"/>
      <w:numFmt w:val="lowerLetter"/>
      <w:pStyle w:val="127"/>
      <w:suff w:val="nothing"/>
      <w:lvlText w:val="%1   "/>
      <w:lvlJc w:val="left"/>
      <w:pPr>
        <w:ind w:left="544" w:hanging="181"/>
      </w:pPr>
      <w:rPr>
        <w:rFonts w:hint="eastAsia" w:ascii="宋体" w:hAns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4">
    <w:nsid w:val="29707437"/>
    <w:multiLevelType w:val="multilevel"/>
    <w:tmpl w:val="29707437"/>
    <w:lvl w:ilvl="0" w:tentative="0">
      <w:start w:val="1"/>
      <w:numFmt w:val="none"/>
      <w:pStyle w:val="83"/>
      <w:suff w:val="nothing"/>
      <w:lvlText w:val="%1注："/>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2A8F7113"/>
    <w:multiLevelType w:val="multilevel"/>
    <w:tmpl w:val="2A8F7113"/>
    <w:lvl w:ilvl="0" w:tentative="0">
      <w:start w:val="1"/>
      <w:numFmt w:val="upperLetter"/>
      <w:pStyle w:val="109"/>
      <w:suff w:val="space"/>
      <w:lvlText w:val="%1"/>
      <w:lvlJc w:val="left"/>
      <w:pPr>
        <w:ind w:left="623" w:hanging="425"/>
      </w:pPr>
      <w:rPr>
        <w:rFonts w:hint="eastAsia"/>
      </w:rPr>
    </w:lvl>
    <w:lvl w:ilvl="1" w:tentative="0">
      <w:start w:val="1"/>
      <w:numFmt w:val="decimal"/>
      <w:pStyle w:val="110"/>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6">
    <w:nsid w:val="2C5917C3"/>
    <w:multiLevelType w:val="multilevel"/>
    <w:tmpl w:val="2C5917C3"/>
    <w:lvl w:ilvl="0" w:tentative="0">
      <w:start w:val="1"/>
      <w:numFmt w:val="none"/>
      <w:pStyle w:val="74"/>
      <w:suff w:val="nothing"/>
      <w:lvlText w:val="%1——"/>
      <w:lvlJc w:val="left"/>
      <w:pPr>
        <w:ind w:left="833" w:hanging="408"/>
      </w:pPr>
      <w:rPr>
        <w:rFonts w:hint="eastAsia"/>
      </w:rPr>
    </w:lvl>
    <w:lvl w:ilvl="1" w:tentative="0">
      <w:start w:val="1"/>
      <w:numFmt w:val="bullet"/>
      <w:pStyle w:val="75"/>
      <w:lvlText w:val=""/>
      <w:lvlJc w:val="left"/>
      <w:pPr>
        <w:tabs>
          <w:tab w:val="left" w:pos="760"/>
        </w:tabs>
        <w:ind w:left="1264" w:hanging="413"/>
      </w:pPr>
      <w:rPr>
        <w:rFonts w:hint="default" w:ascii="Symbol" w:hAnsi="Symbol"/>
        <w:color w:val="auto"/>
      </w:rPr>
    </w:lvl>
    <w:lvl w:ilvl="2" w:tentative="0">
      <w:start w:val="1"/>
      <w:numFmt w:val="bullet"/>
      <w:pStyle w:val="81"/>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7">
    <w:nsid w:val="3D733618"/>
    <w:multiLevelType w:val="multilevel"/>
    <w:tmpl w:val="3D733618"/>
    <w:lvl w:ilvl="0" w:tentative="0">
      <w:start w:val="1"/>
      <w:numFmt w:val="decimal"/>
      <w:pStyle w:val="25"/>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8">
    <w:nsid w:val="520F62E9"/>
    <w:multiLevelType w:val="multilevel"/>
    <w:tmpl w:val="520F62E9"/>
    <w:lvl w:ilvl="0" w:tentative="0">
      <w:start w:val="1"/>
      <w:numFmt w:val="decimal"/>
      <w:pStyle w:val="133"/>
      <w:suff w:val="nothing"/>
      <w:lvlText w:val="图%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5E63562F"/>
    <w:multiLevelType w:val="multilevel"/>
    <w:tmpl w:val="5E63562F"/>
    <w:lvl w:ilvl="0" w:tentative="0">
      <w:start w:val="1"/>
      <w:numFmt w:val="decimal"/>
      <w:pStyle w:val="80"/>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0">
    <w:nsid w:val="5EC626C9"/>
    <w:multiLevelType w:val="singleLevel"/>
    <w:tmpl w:val="5EC626C9"/>
    <w:lvl w:ilvl="0" w:tentative="0">
      <w:start w:val="1"/>
      <w:numFmt w:val="decimal"/>
      <w:pStyle w:val="90"/>
      <w:suff w:val="nothing"/>
      <w:lvlText w:val="[%1] "/>
      <w:lvlJc w:val="left"/>
      <w:pPr>
        <w:tabs>
          <w:tab w:val="left" w:pos="0"/>
        </w:tabs>
        <w:ind w:left="0" w:firstLine="420"/>
      </w:pPr>
      <w:rPr>
        <w:rFonts w:hint="default" w:ascii="宋体" w:hAnsi="宋体" w:eastAsia="宋体" w:cs="黑体"/>
      </w:rPr>
    </w:lvl>
  </w:abstractNum>
  <w:abstractNum w:abstractNumId="11">
    <w:nsid w:val="60B55DC2"/>
    <w:multiLevelType w:val="multilevel"/>
    <w:tmpl w:val="60B55DC2"/>
    <w:lvl w:ilvl="0" w:tentative="0">
      <w:start w:val="1"/>
      <w:numFmt w:val="upperLetter"/>
      <w:pStyle w:val="100"/>
      <w:lvlText w:val="%1"/>
      <w:lvlJc w:val="left"/>
      <w:pPr>
        <w:tabs>
          <w:tab w:val="left" w:pos="0"/>
        </w:tabs>
        <w:ind w:left="0" w:hanging="425"/>
      </w:pPr>
      <w:rPr>
        <w:rFonts w:hint="eastAsia"/>
      </w:rPr>
    </w:lvl>
    <w:lvl w:ilvl="1" w:tentative="0">
      <w:start w:val="1"/>
      <w:numFmt w:val="decimal"/>
      <w:pStyle w:val="101"/>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2">
    <w:nsid w:val="63404DBE"/>
    <w:multiLevelType w:val="multilevel"/>
    <w:tmpl w:val="63404DBE"/>
    <w:lvl w:ilvl="0" w:tentative="0">
      <w:start w:val="1"/>
      <w:numFmt w:val="none"/>
      <w:pStyle w:val="77"/>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3">
    <w:nsid w:val="63AF7EBF"/>
    <w:multiLevelType w:val="multilevel"/>
    <w:tmpl w:val="63AF7EBF"/>
    <w:lvl w:ilvl="0" w:tentative="0">
      <w:start w:val="1"/>
      <w:numFmt w:val="decimal"/>
      <w:pStyle w:val="131"/>
      <w:suff w:val="nothing"/>
      <w:lvlText w:val="表%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4">
    <w:nsid w:val="657D3FBC"/>
    <w:multiLevelType w:val="multilevel"/>
    <w:tmpl w:val="657D3FBC"/>
    <w:lvl w:ilvl="0" w:tentative="0">
      <w:start w:val="1"/>
      <w:numFmt w:val="upperLetter"/>
      <w:pStyle w:val="63"/>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64"/>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65"/>
      <w:suff w:val="nothing"/>
      <w:lvlText w:val="%1.%2.%3　"/>
      <w:lvlJc w:val="left"/>
      <w:pPr>
        <w:ind w:left="0" w:firstLine="0"/>
      </w:pPr>
      <w:rPr>
        <w:rFonts w:hint="eastAsia" w:ascii="黑体" w:hAnsi="Times New Roman" w:eastAsia="黑体"/>
        <w:b w:val="0"/>
        <w:i w:val="0"/>
        <w:sz w:val="21"/>
      </w:rPr>
    </w:lvl>
    <w:lvl w:ilvl="3" w:tentative="0">
      <w:start w:val="1"/>
      <w:numFmt w:val="decimal"/>
      <w:pStyle w:val="66"/>
      <w:suff w:val="nothing"/>
      <w:lvlText w:val="%1.%2.%3.%4　"/>
      <w:lvlJc w:val="left"/>
      <w:pPr>
        <w:ind w:left="0" w:firstLine="0"/>
      </w:pPr>
      <w:rPr>
        <w:rFonts w:hint="eastAsia" w:ascii="黑体" w:hAnsi="Times New Roman" w:eastAsia="黑体"/>
        <w:b w:val="0"/>
        <w:i w:val="0"/>
        <w:sz w:val="21"/>
      </w:rPr>
    </w:lvl>
    <w:lvl w:ilvl="4" w:tentative="0">
      <w:start w:val="1"/>
      <w:numFmt w:val="decimal"/>
      <w:pStyle w:val="67"/>
      <w:suff w:val="nothing"/>
      <w:lvlText w:val="%1.%2.%3.%4.%5　"/>
      <w:lvlJc w:val="left"/>
      <w:pPr>
        <w:ind w:left="0" w:firstLine="0"/>
      </w:pPr>
      <w:rPr>
        <w:rFonts w:hint="eastAsia" w:ascii="黑体" w:hAnsi="Times New Roman" w:eastAsia="黑体"/>
        <w:b w:val="0"/>
        <w:i w:val="0"/>
        <w:sz w:val="21"/>
      </w:rPr>
    </w:lvl>
    <w:lvl w:ilvl="5" w:tentative="0">
      <w:start w:val="1"/>
      <w:numFmt w:val="decimal"/>
      <w:pStyle w:val="68"/>
      <w:suff w:val="nothing"/>
      <w:lvlText w:val="%1.%2.%3.%4.%5.%6　"/>
      <w:lvlJc w:val="left"/>
      <w:pPr>
        <w:ind w:left="0" w:firstLine="0"/>
      </w:pPr>
      <w:rPr>
        <w:rFonts w:hint="eastAsia" w:ascii="黑体" w:hAnsi="Times New Roman" w:eastAsia="黑体"/>
        <w:b w:val="0"/>
        <w:i w:val="0"/>
        <w:sz w:val="21"/>
      </w:rPr>
    </w:lvl>
    <w:lvl w:ilvl="6" w:tentative="0">
      <w:start w:val="1"/>
      <w:numFmt w:val="decimal"/>
      <w:pStyle w:val="6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65CD2EF4"/>
    <w:multiLevelType w:val="multilevel"/>
    <w:tmpl w:val="65CD2EF4"/>
    <w:lvl w:ilvl="0" w:tentative="0">
      <w:start w:val="1"/>
      <w:numFmt w:val="lowerLetter"/>
      <w:pStyle w:val="61"/>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pStyle w:val="60"/>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62"/>
      <w:suff w:val="space"/>
      <w:lvlText w:val="(%3)"/>
      <w:lvlJc w:val="left"/>
      <w:pPr>
        <w:ind w:left="567" w:firstLine="692"/>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16">
    <w:nsid w:val="6AB870ED"/>
    <w:multiLevelType w:val="multilevel"/>
    <w:tmpl w:val="6AB870ED"/>
    <w:lvl w:ilvl="0" w:tentative="0">
      <w:start w:val="1"/>
      <w:numFmt w:val="decimal"/>
      <w:pStyle w:val="82"/>
      <w:suff w:val="nothing"/>
      <w:lvlText w:val="示例%1："/>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7">
    <w:nsid w:val="6D6C07CD"/>
    <w:multiLevelType w:val="multilevel"/>
    <w:tmpl w:val="6D6C07CD"/>
    <w:lvl w:ilvl="0" w:tentative="0">
      <w:start w:val="1"/>
      <w:numFmt w:val="lowerLetter"/>
      <w:lvlText w:val="%1)"/>
      <w:lvlJc w:val="left"/>
      <w:pPr>
        <w:tabs>
          <w:tab w:val="left" w:pos="839"/>
        </w:tabs>
        <w:ind w:left="839" w:hanging="419"/>
      </w:pPr>
      <w:rPr>
        <w:rFonts w:hint="eastAsia" w:ascii="宋体" w:eastAsia="宋体"/>
        <w:b w:val="0"/>
        <w:i w:val="0"/>
        <w:sz w:val="21"/>
      </w:rPr>
    </w:lvl>
    <w:lvl w:ilvl="1" w:tentative="0">
      <w:start w:val="1"/>
      <w:numFmt w:val="decimal"/>
      <w:pStyle w:val="107"/>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num w:numId="1">
    <w:abstractNumId w:val="7"/>
  </w:num>
  <w:num w:numId="2">
    <w:abstractNumId w:val="2"/>
  </w:num>
  <w:num w:numId="3">
    <w:abstractNumId w:val="15"/>
  </w:num>
  <w:num w:numId="4">
    <w:abstractNumId w:val="14"/>
  </w:num>
  <w:num w:numId="5">
    <w:abstractNumId w:val="6"/>
  </w:num>
  <w:num w:numId="6">
    <w:abstractNumId w:val="12"/>
  </w:num>
  <w:num w:numId="7">
    <w:abstractNumId w:val="1"/>
  </w:num>
  <w:num w:numId="8">
    <w:abstractNumId w:val="9"/>
  </w:num>
  <w:num w:numId="9">
    <w:abstractNumId w:val="16"/>
  </w:num>
  <w:num w:numId="10">
    <w:abstractNumId w:val="4"/>
  </w:num>
  <w:num w:numId="11">
    <w:abstractNumId w:val="0"/>
  </w:num>
  <w:num w:numId="12">
    <w:abstractNumId w:val="10"/>
  </w:num>
  <w:num w:numId="13">
    <w:abstractNumId w:val="11"/>
  </w:num>
  <w:num w:numId="14">
    <w:abstractNumId w:val="17"/>
  </w:num>
  <w:num w:numId="15">
    <w:abstractNumId w:val="5"/>
  </w:num>
  <w:num w:numId="16">
    <w:abstractNumId w:val="3"/>
  </w:num>
  <w:num w:numId="17">
    <w:abstractNumId w:val="1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mirrorMargins w:val="1"/>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2OTMyNGMyN2EzYzcxNDNmMDdlYzA4ZmI3ZmEyMmYifQ=="/>
  </w:docVars>
  <w:rsids>
    <w:rsidRoot w:val="00035925"/>
    <w:rsid w:val="00000244"/>
    <w:rsid w:val="00000BB3"/>
    <w:rsid w:val="0000185F"/>
    <w:rsid w:val="00002116"/>
    <w:rsid w:val="00004B91"/>
    <w:rsid w:val="00004E32"/>
    <w:rsid w:val="0000586F"/>
    <w:rsid w:val="00006902"/>
    <w:rsid w:val="00013D86"/>
    <w:rsid w:val="00013E02"/>
    <w:rsid w:val="00021230"/>
    <w:rsid w:val="0002143C"/>
    <w:rsid w:val="00025A65"/>
    <w:rsid w:val="00026C31"/>
    <w:rsid w:val="00027280"/>
    <w:rsid w:val="000320A7"/>
    <w:rsid w:val="000325EA"/>
    <w:rsid w:val="00035925"/>
    <w:rsid w:val="00036C2C"/>
    <w:rsid w:val="00036FFE"/>
    <w:rsid w:val="00041184"/>
    <w:rsid w:val="00045A7C"/>
    <w:rsid w:val="00050F2A"/>
    <w:rsid w:val="00052F20"/>
    <w:rsid w:val="00055371"/>
    <w:rsid w:val="00056A24"/>
    <w:rsid w:val="00057CE5"/>
    <w:rsid w:val="000607A3"/>
    <w:rsid w:val="000657F7"/>
    <w:rsid w:val="00065DF4"/>
    <w:rsid w:val="00067CDF"/>
    <w:rsid w:val="00074FBE"/>
    <w:rsid w:val="0007762A"/>
    <w:rsid w:val="00081F6E"/>
    <w:rsid w:val="00083A09"/>
    <w:rsid w:val="0009005E"/>
    <w:rsid w:val="000918A9"/>
    <w:rsid w:val="00092001"/>
    <w:rsid w:val="00092618"/>
    <w:rsid w:val="00092857"/>
    <w:rsid w:val="00092BD8"/>
    <w:rsid w:val="00093B6E"/>
    <w:rsid w:val="00094B7B"/>
    <w:rsid w:val="000964C7"/>
    <w:rsid w:val="000979D9"/>
    <w:rsid w:val="000A20A9"/>
    <w:rsid w:val="000A48B1"/>
    <w:rsid w:val="000A74B6"/>
    <w:rsid w:val="000B2671"/>
    <w:rsid w:val="000B2F0E"/>
    <w:rsid w:val="000B3143"/>
    <w:rsid w:val="000B405D"/>
    <w:rsid w:val="000C1A52"/>
    <w:rsid w:val="000C2BE6"/>
    <w:rsid w:val="000C4FDD"/>
    <w:rsid w:val="000C66C4"/>
    <w:rsid w:val="000C6B05"/>
    <w:rsid w:val="000C6DD6"/>
    <w:rsid w:val="000C73D4"/>
    <w:rsid w:val="000D3D4C"/>
    <w:rsid w:val="000D4F51"/>
    <w:rsid w:val="000D718B"/>
    <w:rsid w:val="000E0C46"/>
    <w:rsid w:val="000E15EE"/>
    <w:rsid w:val="000F030C"/>
    <w:rsid w:val="000F129C"/>
    <w:rsid w:val="000F174F"/>
    <w:rsid w:val="000F43F8"/>
    <w:rsid w:val="00104E29"/>
    <w:rsid w:val="001056DE"/>
    <w:rsid w:val="001124C0"/>
    <w:rsid w:val="001162C0"/>
    <w:rsid w:val="00117A25"/>
    <w:rsid w:val="00121293"/>
    <w:rsid w:val="0013175F"/>
    <w:rsid w:val="0013364D"/>
    <w:rsid w:val="001343BB"/>
    <w:rsid w:val="00134C46"/>
    <w:rsid w:val="00135256"/>
    <w:rsid w:val="00135387"/>
    <w:rsid w:val="00145A3E"/>
    <w:rsid w:val="00145B0A"/>
    <w:rsid w:val="001512B4"/>
    <w:rsid w:val="00153A26"/>
    <w:rsid w:val="001620A5"/>
    <w:rsid w:val="00164352"/>
    <w:rsid w:val="00164E53"/>
    <w:rsid w:val="00165269"/>
    <w:rsid w:val="00165D35"/>
    <w:rsid w:val="0016699D"/>
    <w:rsid w:val="001670D9"/>
    <w:rsid w:val="001722E1"/>
    <w:rsid w:val="00173A06"/>
    <w:rsid w:val="00174DD2"/>
    <w:rsid w:val="00175159"/>
    <w:rsid w:val="00175AD7"/>
    <w:rsid w:val="00176208"/>
    <w:rsid w:val="00177196"/>
    <w:rsid w:val="0017780C"/>
    <w:rsid w:val="001813B2"/>
    <w:rsid w:val="0018211B"/>
    <w:rsid w:val="00183FE1"/>
    <w:rsid w:val="001840D3"/>
    <w:rsid w:val="00184782"/>
    <w:rsid w:val="00187A8A"/>
    <w:rsid w:val="001900F8"/>
    <w:rsid w:val="00191258"/>
    <w:rsid w:val="00192680"/>
    <w:rsid w:val="00193037"/>
    <w:rsid w:val="00193375"/>
    <w:rsid w:val="00193A2C"/>
    <w:rsid w:val="001A288E"/>
    <w:rsid w:val="001A3679"/>
    <w:rsid w:val="001A5EFC"/>
    <w:rsid w:val="001A7684"/>
    <w:rsid w:val="001B0C29"/>
    <w:rsid w:val="001B36ED"/>
    <w:rsid w:val="001B6DC2"/>
    <w:rsid w:val="001B754B"/>
    <w:rsid w:val="001B7BC5"/>
    <w:rsid w:val="001C149C"/>
    <w:rsid w:val="001C21AC"/>
    <w:rsid w:val="001C3689"/>
    <w:rsid w:val="001C47BA"/>
    <w:rsid w:val="001C59EA"/>
    <w:rsid w:val="001D3556"/>
    <w:rsid w:val="001D406C"/>
    <w:rsid w:val="001D41EE"/>
    <w:rsid w:val="001D4BEB"/>
    <w:rsid w:val="001D5EE7"/>
    <w:rsid w:val="001D6B6C"/>
    <w:rsid w:val="001D71E6"/>
    <w:rsid w:val="001E0380"/>
    <w:rsid w:val="001E0B1B"/>
    <w:rsid w:val="001E12EB"/>
    <w:rsid w:val="001E13B1"/>
    <w:rsid w:val="001E2153"/>
    <w:rsid w:val="001E4CF5"/>
    <w:rsid w:val="001F15B8"/>
    <w:rsid w:val="001F3A19"/>
    <w:rsid w:val="001F60CA"/>
    <w:rsid w:val="002009E4"/>
    <w:rsid w:val="00201053"/>
    <w:rsid w:val="0020251B"/>
    <w:rsid w:val="00202FA6"/>
    <w:rsid w:val="002073D3"/>
    <w:rsid w:val="002074DE"/>
    <w:rsid w:val="00210A81"/>
    <w:rsid w:val="00215535"/>
    <w:rsid w:val="00215D48"/>
    <w:rsid w:val="0021624B"/>
    <w:rsid w:val="0022185E"/>
    <w:rsid w:val="0022449B"/>
    <w:rsid w:val="00227F55"/>
    <w:rsid w:val="00227FED"/>
    <w:rsid w:val="0023030A"/>
    <w:rsid w:val="00230F08"/>
    <w:rsid w:val="00233F70"/>
    <w:rsid w:val="00234467"/>
    <w:rsid w:val="00235BE6"/>
    <w:rsid w:val="00235EBB"/>
    <w:rsid w:val="00235FA7"/>
    <w:rsid w:val="00237D8D"/>
    <w:rsid w:val="00241DA2"/>
    <w:rsid w:val="00247FEE"/>
    <w:rsid w:val="00250E7D"/>
    <w:rsid w:val="002523DB"/>
    <w:rsid w:val="002527DD"/>
    <w:rsid w:val="00252DAA"/>
    <w:rsid w:val="002565D5"/>
    <w:rsid w:val="002622C0"/>
    <w:rsid w:val="002703BA"/>
    <w:rsid w:val="002751CF"/>
    <w:rsid w:val="002778AE"/>
    <w:rsid w:val="0028269A"/>
    <w:rsid w:val="00283590"/>
    <w:rsid w:val="0028577E"/>
    <w:rsid w:val="0028656D"/>
    <w:rsid w:val="00286973"/>
    <w:rsid w:val="00286CB7"/>
    <w:rsid w:val="00287674"/>
    <w:rsid w:val="002913FC"/>
    <w:rsid w:val="002938A4"/>
    <w:rsid w:val="00294E70"/>
    <w:rsid w:val="002954B8"/>
    <w:rsid w:val="002967B2"/>
    <w:rsid w:val="002973F1"/>
    <w:rsid w:val="002A1924"/>
    <w:rsid w:val="002A4273"/>
    <w:rsid w:val="002A7420"/>
    <w:rsid w:val="002A7A7E"/>
    <w:rsid w:val="002B0F12"/>
    <w:rsid w:val="002B1308"/>
    <w:rsid w:val="002B4554"/>
    <w:rsid w:val="002B5B25"/>
    <w:rsid w:val="002B707C"/>
    <w:rsid w:val="002C5399"/>
    <w:rsid w:val="002C72D8"/>
    <w:rsid w:val="002D11FA"/>
    <w:rsid w:val="002D17BC"/>
    <w:rsid w:val="002D19A4"/>
    <w:rsid w:val="002D394B"/>
    <w:rsid w:val="002D3C39"/>
    <w:rsid w:val="002D40AD"/>
    <w:rsid w:val="002D6352"/>
    <w:rsid w:val="002E0DDF"/>
    <w:rsid w:val="002E2906"/>
    <w:rsid w:val="002E5635"/>
    <w:rsid w:val="002E64C3"/>
    <w:rsid w:val="002E6A2C"/>
    <w:rsid w:val="002E70FF"/>
    <w:rsid w:val="002F035E"/>
    <w:rsid w:val="002F0FE8"/>
    <w:rsid w:val="002F1B39"/>
    <w:rsid w:val="002F1D8C"/>
    <w:rsid w:val="002F21DA"/>
    <w:rsid w:val="002F2AC4"/>
    <w:rsid w:val="002F34B8"/>
    <w:rsid w:val="002F4849"/>
    <w:rsid w:val="00301F39"/>
    <w:rsid w:val="00302F51"/>
    <w:rsid w:val="00303D27"/>
    <w:rsid w:val="0030440D"/>
    <w:rsid w:val="00305BEE"/>
    <w:rsid w:val="00313962"/>
    <w:rsid w:val="003234E0"/>
    <w:rsid w:val="003243F0"/>
    <w:rsid w:val="00325926"/>
    <w:rsid w:val="00326A38"/>
    <w:rsid w:val="00326CD1"/>
    <w:rsid w:val="00327A8A"/>
    <w:rsid w:val="00327D22"/>
    <w:rsid w:val="0033217F"/>
    <w:rsid w:val="00332AE0"/>
    <w:rsid w:val="003339A3"/>
    <w:rsid w:val="00335B63"/>
    <w:rsid w:val="00336610"/>
    <w:rsid w:val="00341F5C"/>
    <w:rsid w:val="00343D23"/>
    <w:rsid w:val="00343F73"/>
    <w:rsid w:val="00345060"/>
    <w:rsid w:val="003451FB"/>
    <w:rsid w:val="00352629"/>
    <w:rsid w:val="0035323B"/>
    <w:rsid w:val="00353D19"/>
    <w:rsid w:val="0035785A"/>
    <w:rsid w:val="003609D2"/>
    <w:rsid w:val="0036254D"/>
    <w:rsid w:val="00363F22"/>
    <w:rsid w:val="00364940"/>
    <w:rsid w:val="00367CF1"/>
    <w:rsid w:val="00375564"/>
    <w:rsid w:val="00376489"/>
    <w:rsid w:val="00376932"/>
    <w:rsid w:val="00383191"/>
    <w:rsid w:val="00386DED"/>
    <w:rsid w:val="00386E6A"/>
    <w:rsid w:val="003912E7"/>
    <w:rsid w:val="00393947"/>
    <w:rsid w:val="00395141"/>
    <w:rsid w:val="003A0E27"/>
    <w:rsid w:val="003A2275"/>
    <w:rsid w:val="003A2C90"/>
    <w:rsid w:val="003A6A4F"/>
    <w:rsid w:val="003A7088"/>
    <w:rsid w:val="003B00DF"/>
    <w:rsid w:val="003B1275"/>
    <w:rsid w:val="003B1778"/>
    <w:rsid w:val="003B6C28"/>
    <w:rsid w:val="003C11CB"/>
    <w:rsid w:val="003C3017"/>
    <w:rsid w:val="003C6A77"/>
    <w:rsid w:val="003C75F3"/>
    <w:rsid w:val="003C78A3"/>
    <w:rsid w:val="003D36AB"/>
    <w:rsid w:val="003E0769"/>
    <w:rsid w:val="003E1867"/>
    <w:rsid w:val="003E26A7"/>
    <w:rsid w:val="003E5729"/>
    <w:rsid w:val="003E724E"/>
    <w:rsid w:val="003F1D40"/>
    <w:rsid w:val="003F22BB"/>
    <w:rsid w:val="003F2A5B"/>
    <w:rsid w:val="003F4EE0"/>
    <w:rsid w:val="003F5559"/>
    <w:rsid w:val="00400473"/>
    <w:rsid w:val="00402153"/>
    <w:rsid w:val="00402E26"/>
    <w:rsid w:val="00402FC1"/>
    <w:rsid w:val="0041548C"/>
    <w:rsid w:val="00417BF6"/>
    <w:rsid w:val="004200D9"/>
    <w:rsid w:val="00422EC9"/>
    <w:rsid w:val="0042493B"/>
    <w:rsid w:val="00425082"/>
    <w:rsid w:val="00426AC9"/>
    <w:rsid w:val="00431DEB"/>
    <w:rsid w:val="0044259D"/>
    <w:rsid w:val="004439D9"/>
    <w:rsid w:val="00446B29"/>
    <w:rsid w:val="004473C4"/>
    <w:rsid w:val="004524BE"/>
    <w:rsid w:val="00453AAE"/>
    <w:rsid w:val="00453F9A"/>
    <w:rsid w:val="00454CC3"/>
    <w:rsid w:val="00464903"/>
    <w:rsid w:val="00464D67"/>
    <w:rsid w:val="00471E91"/>
    <w:rsid w:val="00474079"/>
    <w:rsid w:val="00474675"/>
    <w:rsid w:val="0047470C"/>
    <w:rsid w:val="00484C88"/>
    <w:rsid w:val="004A203E"/>
    <w:rsid w:val="004A35F9"/>
    <w:rsid w:val="004A4662"/>
    <w:rsid w:val="004A4AEA"/>
    <w:rsid w:val="004A5851"/>
    <w:rsid w:val="004A59A9"/>
    <w:rsid w:val="004A5D7D"/>
    <w:rsid w:val="004A6F09"/>
    <w:rsid w:val="004A7E02"/>
    <w:rsid w:val="004B157A"/>
    <w:rsid w:val="004B24C1"/>
    <w:rsid w:val="004B3092"/>
    <w:rsid w:val="004B49B1"/>
    <w:rsid w:val="004B557C"/>
    <w:rsid w:val="004B6815"/>
    <w:rsid w:val="004C292F"/>
    <w:rsid w:val="004C657F"/>
    <w:rsid w:val="004D306F"/>
    <w:rsid w:val="004D4B02"/>
    <w:rsid w:val="004D4F76"/>
    <w:rsid w:val="004E357D"/>
    <w:rsid w:val="004E4B13"/>
    <w:rsid w:val="004E4B8C"/>
    <w:rsid w:val="004E5A47"/>
    <w:rsid w:val="004F57D0"/>
    <w:rsid w:val="004F7D2C"/>
    <w:rsid w:val="005036E2"/>
    <w:rsid w:val="00510280"/>
    <w:rsid w:val="00513D73"/>
    <w:rsid w:val="005148B3"/>
    <w:rsid w:val="00514A43"/>
    <w:rsid w:val="00515E9C"/>
    <w:rsid w:val="005174E5"/>
    <w:rsid w:val="00520898"/>
    <w:rsid w:val="00521629"/>
    <w:rsid w:val="00522393"/>
    <w:rsid w:val="00522620"/>
    <w:rsid w:val="00525656"/>
    <w:rsid w:val="00525BF3"/>
    <w:rsid w:val="00534C02"/>
    <w:rsid w:val="0054044C"/>
    <w:rsid w:val="0054264B"/>
    <w:rsid w:val="00543786"/>
    <w:rsid w:val="0054553D"/>
    <w:rsid w:val="00545A49"/>
    <w:rsid w:val="005463CC"/>
    <w:rsid w:val="00546D0D"/>
    <w:rsid w:val="0055153A"/>
    <w:rsid w:val="005533D7"/>
    <w:rsid w:val="00554B63"/>
    <w:rsid w:val="00562CF6"/>
    <w:rsid w:val="00564992"/>
    <w:rsid w:val="0056544B"/>
    <w:rsid w:val="00567177"/>
    <w:rsid w:val="005702D1"/>
    <w:rsid w:val="005703DE"/>
    <w:rsid w:val="005710BC"/>
    <w:rsid w:val="0057420E"/>
    <w:rsid w:val="005755F1"/>
    <w:rsid w:val="00576249"/>
    <w:rsid w:val="00581927"/>
    <w:rsid w:val="00582BBE"/>
    <w:rsid w:val="0058311A"/>
    <w:rsid w:val="0058464E"/>
    <w:rsid w:val="0058650E"/>
    <w:rsid w:val="00593B03"/>
    <w:rsid w:val="00593ED6"/>
    <w:rsid w:val="005A01CB"/>
    <w:rsid w:val="005A1955"/>
    <w:rsid w:val="005A19A9"/>
    <w:rsid w:val="005A1DEA"/>
    <w:rsid w:val="005A58FF"/>
    <w:rsid w:val="005A5EAF"/>
    <w:rsid w:val="005A6491"/>
    <w:rsid w:val="005A64C0"/>
    <w:rsid w:val="005B1985"/>
    <w:rsid w:val="005B35F9"/>
    <w:rsid w:val="005B3C11"/>
    <w:rsid w:val="005C1C28"/>
    <w:rsid w:val="005C414F"/>
    <w:rsid w:val="005C43D0"/>
    <w:rsid w:val="005C66CD"/>
    <w:rsid w:val="005C6DB5"/>
    <w:rsid w:val="005C7C12"/>
    <w:rsid w:val="005D3842"/>
    <w:rsid w:val="005E19E7"/>
    <w:rsid w:val="005E2392"/>
    <w:rsid w:val="005E3323"/>
    <w:rsid w:val="005F7927"/>
    <w:rsid w:val="00601622"/>
    <w:rsid w:val="0060789B"/>
    <w:rsid w:val="0061037E"/>
    <w:rsid w:val="00612FDC"/>
    <w:rsid w:val="00613FAA"/>
    <w:rsid w:val="00615887"/>
    <w:rsid w:val="00616C36"/>
    <w:rsid w:val="0061716C"/>
    <w:rsid w:val="006171AF"/>
    <w:rsid w:val="00617868"/>
    <w:rsid w:val="006243A1"/>
    <w:rsid w:val="00626005"/>
    <w:rsid w:val="00632E56"/>
    <w:rsid w:val="006337B9"/>
    <w:rsid w:val="00635CBA"/>
    <w:rsid w:val="00636EFC"/>
    <w:rsid w:val="0064338B"/>
    <w:rsid w:val="00646542"/>
    <w:rsid w:val="006504F4"/>
    <w:rsid w:val="0065366F"/>
    <w:rsid w:val="00654BC9"/>
    <w:rsid w:val="006552FD"/>
    <w:rsid w:val="00656F0B"/>
    <w:rsid w:val="00663393"/>
    <w:rsid w:val="00663733"/>
    <w:rsid w:val="00663AF3"/>
    <w:rsid w:val="00666B6C"/>
    <w:rsid w:val="00677B54"/>
    <w:rsid w:val="00682682"/>
    <w:rsid w:val="00682702"/>
    <w:rsid w:val="00683A1C"/>
    <w:rsid w:val="006845B2"/>
    <w:rsid w:val="0068684F"/>
    <w:rsid w:val="00692368"/>
    <w:rsid w:val="00695192"/>
    <w:rsid w:val="0069697B"/>
    <w:rsid w:val="006A2EBC"/>
    <w:rsid w:val="006A5EA0"/>
    <w:rsid w:val="006A783B"/>
    <w:rsid w:val="006A7B33"/>
    <w:rsid w:val="006B497F"/>
    <w:rsid w:val="006B4E13"/>
    <w:rsid w:val="006B75DD"/>
    <w:rsid w:val="006C047C"/>
    <w:rsid w:val="006C3D8B"/>
    <w:rsid w:val="006C67E0"/>
    <w:rsid w:val="006C759A"/>
    <w:rsid w:val="006C7ABA"/>
    <w:rsid w:val="006D0A13"/>
    <w:rsid w:val="006D0D60"/>
    <w:rsid w:val="006D1122"/>
    <w:rsid w:val="006D317E"/>
    <w:rsid w:val="006D3B1E"/>
    <w:rsid w:val="006D3C00"/>
    <w:rsid w:val="006E06AD"/>
    <w:rsid w:val="006E3675"/>
    <w:rsid w:val="006E41E7"/>
    <w:rsid w:val="006E4A7F"/>
    <w:rsid w:val="006F0967"/>
    <w:rsid w:val="006F2274"/>
    <w:rsid w:val="006F64A0"/>
    <w:rsid w:val="006F73B3"/>
    <w:rsid w:val="0070038F"/>
    <w:rsid w:val="007027B1"/>
    <w:rsid w:val="0070286C"/>
    <w:rsid w:val="00704DF6"/>
    <w:rsid w:val="0070641D"/>
    <w:rsid w:val="0070651C"/>
    <w:rsid w:val="007132A3"/>
    <w:rsid w:val="00716421"/>
    <w:rsid w:val="00716BB3"/>
    <w:rsid w:val="00721419"/>
    <w:rsid w:val="0072293C"/>
    <w:rsid w:val="0072340A"/>
    <w:rsid w:val="00724EFB"/>
    <w:rsid w:val="007251BB"/>
    <w:rsid w:val="00726575"/>
    <w:rsid w:val="00730310"/>
    <w:rsid w:val="00736DC6"/>
    <w:rsid w:val="00740A49"/>
    <w:rsid w:val="007419C3"/>
    <w:rsid w:val="00746559"/>
    <w:rsid w:val="007467A7"/>
    <w:rsid w:val="007469DD"/>
    <w:rsid w:val="0074741B"/>
    <w:rsid w:val="0074759E"/>
    <w:rsid w:val="007478EA"/>
    <w:rsid w:val="00747CD8"/>
    <w:rsid w:val="0075415C"/>
    <w:rsid w:val="00757027"/>
    <w:rsid w:val="00757097"/>
    <w:rsid w:val="007606CB"/>
    <w:rsid w:val="00761E8B"/>
    <w:rsid w:val="00763410"/>
    <w:rsid w:val="00763502"/>
    <w:rsid w:val="007666A0"/>
    <w:rsid w:val="00780DE2"/>
    <w:rsid w:val="00782F81"/>
    <w:rsid w:val="007855FF"/>
    <w:rsid w:val="007913AB"/>
    <w:rsid w:val="007914F7"/>
    <w:rsid w:val="007925F8"/>
    <w:rsid w:val="00793B8B"/>
    <w:rsid w:val="00795C73"/>
    <w:rsid w:val="00796853"/>
    <w:rsid w:val="007A1A2E"/>
    <w:rsid w:val="007A284D"/>
    <w:rsid w:val="007A4809"/>
    <w:rsid w:val="007B1625"/>
    <w:rsid w:val="007B2EEC"/>
    <w:rsid w:val="007B706E"/>
    <w:rsid w:val="007B71EB"/>
    <w:rsid w:val="007C0748"/>
    <w:rsid w:val="007C6205"/>
    <w:rsid w:val="007C686A"/>
    <w:rsid w:val="007C728E"/>
    <w:rsid w:val="007D0629"/>
    <w:rsid w:val="007D0BE0"/>
    <w:rsid w:val="007D11AA"/>
    <w:rsid w:val="007D204F"/>
    <w:rsid w:val="007D2C53"/>
    <w:rsid w:val="007D3354"/>
    <w:rsid w:val="007D3D60"/>
    <w:rsid w:val="007D62E4"/>
    <w:rsid w:val="007E0A59"/>
    <w:rsid w:val="007E1980"/>
    <w:rsid w:val="007E4B76"/>
    <w:rsid w:val="007E5043"/>
    <w:rsid w:val="007E5EA8"/>
    <w:rsid w:val="007F0104"/>
    <w:rsid w:val="007F0CF1"/>
    <w:rsid w:val="007F12A5"/>
    <w:rsid w:val="007F2D74"/>
    <w:rsid w:val="007F3FB7"/>
    <w:rsid w:val="007F4CF1"/>
    <w:rsid w:val="007F530D"/>
    <w:rsid w:val="007F6D16"/>
    <w:rsid w:val="007F758D"/>
    <w:rsid w:val="007F7D52"/>
    <w:rsid w:val="0080484A"/>
    <w:rsid w:val="00805589"/>
    <w:rsid w:val="008057A5"/>
    <w:rsid w:val="00805E2F"/>
    <w:rsid w:val="0080654C"/>
    <w:rsid w:val="008071C6"/>
    <w:rsid w:val="008106F3"/>
    <w:rsid w:val="00817A00"/>
    <w:rsid w:val="00820B95"/>
    <w:rsid w:val="00825891"/>
    <w:rsid w:val="00831631"/>
    <w:rsid w:val="0083228D"/>
    <w:rsid w:val="00833D07"/>
    <w:rsid w:val="00835DB3"/>
    <w:rsid w:val="0083617B"/>
    <w:rsid w:val="00836342"/>
    <w:rsid w:val="00836A2D"/>
    <w:rsid w:val="008371BD"/>
    <w:rsid w:val="00837274"/>
    <w:rsid w:val="00840EBF"/>
    <w:rsid w:val="008504A8"/>
    <w:rsid w:val="00851B58"/>
    <w:rsid w:val="00852353"/>
    <w:rsid w:val="0085282E"/>
    <w:rsid w:val="008529E3"/>
    <w:rsid w:val="00853BDF"/>
    <w:rsid w:val="00863982"/>
    <w:rsid w:val="0087198C"/>
    <w:rsid w:val="00872C1F"/>
    <w:rsid w:val="00873B42"/>
    <w:rsid w:val="00874924"/>
    <w:rsid w:val="00877CB0"/>
    <w:rsid w:val="008805AC"/>
    <w:rsid w:val="00880D1A"/>
    <w:rsid w:val="00882F13"/>
    <w:rsid w:val="00884468"/>
    <w:rsid w:val="008856D8"/>
    <w:rsid w:val="0089179A"/>
    <w:rsid w:val="00891D4C"/>
    <w:rsid w:val="00892E82"/>
    <w:rsid w:val="00892E8C"/>
    <w:rsid w:val="00893277"/>
    <w:rsid w:val="00895FA9"/>
    <w:rsid w:val="008A1035"/>
    <w:rsid w:val="008A6E08"/>
    <w:rsid w:val="008B6F93"/>
    <w:rsid w:val="008C0BE9"/>
    <w:rsid w:val="008C1B58"/>
    <w:rsid w:val="008C39AE"/>
    <w:rsid w:val="008C40DF"/>
    <w:rsid w:val="008C590D"/>
    <w:rsid w:val="008C73A8"/>
    <w:rsid w:val="008D447E"/>
    <w:rsid w:val="008D7566"/>
    <w:rsid w:val="008E031B"/>
    <w:rsid w:val="008E0560"/>
    <w:rsid w:val="008E2D8C"/>
    <w:rsid w:val="008E4150"/>
    <w:rsid w:val="008E48AF"/>
    <w:rsid w:val="008E7029"/>
    <w:rsid w:val="008E7EF6"/>
    <w:rsid w:val="008F1F98"/>
    <w:rsid w:val="008F2340"/>
    <w:rsid w:val="008F2790"/>
    <w:rsid w:val="008F35C7"/>
    <w:rsid w:val="008F6758"/>
    <w:rsid w:val="008F7673"/>
    <w:rsid w:val="009022CA"/>
    <w:rsid w:val="009040DD"/>
    <w:rsid w:val="00904C17"/>
    <w:rsid w:val="00905B47"/>
    <w:rsid w:val="0090690F"/>
    <w:rsid w:val="00910645"/>
    <w:rsid w:val="00911391"/>
    <w:rsid w:val="0091213E"/>
    <w:rsid w:val="0091331C"/>
    <w:rsid w:val="009137BD"/>
    <w:rsid w:val="0091503D"/>
    <w:rsid w:val="0092310D"/>
    <w:rsid w:val="0092412F"/>
    <w:rsid w:val="00924671"/>
    <w:rsid w:val="009279DE"/>
    <w:rsid w:val="00927AB9"/>
    <w:rsid w:val="00927B37"/>
    <w:rsid w:val="00930116"/>
    <w:rsid w:val="00930625"/>
    <w:rsid w:val="00941082"/>
    <w:rsid w:val="0094212C"/>
    <w:rsid w:val="00944853"/>
    <w:rsid w:val="0094609D"/>
    <w:rsid w:val="00953142"/>
    <w:rsid w:val="0095378C"/>
    <w:rsid w:val="00954689"/>
    <w:rsid w:val="0095472A"/>
    <w:rsid w:val="009560B8"/>
    <w:rsid w:val="0096085A"/>
    <w:rsid w:val="009617C9"/>
    <w:rsid w:val="00961C93"/>
    <w:rsid w:val="00962B4E"/>
    <w:rsid w:val="00965324"/>
    <w:rsid w:val="0097091E"/>
    <w:rsid w:val="00972046"/>
    <w:rsid w:val="009760D3"/>
    <w:rsid w:val="00977132"/>
    <w:rsid w:val="00981A4B"/>
    <w:rsid w:val="00982250"/>
    <w:rsid w:val="00982501"/>
    <w:rsid w:val="00983D33"/>
    <w:rsid w:val="00984358"/>
    <w:rsid w:val="0098533A"/>
    <w:rsid w:val="009877D3"/>
    <w:rsid w:val="00991275"/>
    <w:rsid w:val="00994E8F"/>
    <w:rsid w:val="009951DC"/>
    <w:rsid w:val="009959BB"/>
    <w:rsid w:val="00997158"/>
    <w:rsid w:val="009A0073"/>
    <w:rsid w:val="009A0827"/>
    <w:rsid w:val="009A2C45"/>
    <w:rsid w:val="009A394A"/>
    <w:rsid w:val="009A3A7C"/>
    <w:rsid w:val="009A5D33"/>
    <w:rsid w:val="009A7D84"/>
    <w:rsid w:val="009B2323"/>
    <w:rsid w:val="009B2ADB"/>
    <w:rsid w:val="009B5C73"/>
    <w:rsid w:val="009B603A"/>
    <w:rsid w:val="009B6601"/>
    <w:rsid w:val="009C2627"/>
    <w:rsid w:val="009C2D0E"/>
    <w:rsid w:val="009C3DAC"/>
    <w:rsid w:val="009C3F86"/>
    <w:rsid w:val="009C42E0"/>
    <w:rsid w:val="009C62DE"/>
    <w:rsid w:val="009D0AA0"/>
    <w:rsid w:val="009D3230"/>
    <w:rsid w:val="009D5362"/>
    <w:rsid w:val="009E1415"/>
    <w:rsid w:val="009E6116"/>
    <w:rsid w:val="009E7814"/>
    <w:rsid w:val="009E7E25"/>
    <w:rsid w:val="009F0717"/>
    <w:rsid w:val="00A02E43"/>
    <w:rsid w:val="00A048E7"/>
    <w:rsid w:val="00A05368"/>
    <w:rsid w:val="00A065F9"/>
    <w:rsid w:val="00A07011"/>
    <w:rsid w:val="00A07F34"/>
    <w:rsid w:val="00A13777"/>
    <w:rsid w:val="00A20D98"/>
    <w:rsid w:val="00A22154"/>
    <w:rsid w:val="00A239F2"/>
    <w:rsid w:val="00A24058"/>
    <w:rsid w:val="00A25C38"/>
    <w:rsid w:val="00A303BF"/>
    <w:rsid w:val="00A3182E"/>
    <w:rsid w:val="00A35824"/>
    <w:rsid w:val="00A36BBE"/>
    <w:rsid w:val="00A37C20"/>
    <w:rsid w:val="00A40D9E"/>
    <w:rsid w:val="00A41DF7"/>
    <w:rsid w:val="00A420B1"/>
    <w:rsid w:val="00A42910"/>
    <w:rsid w:val="00A42ECA"/>
    <w:rsid w:val="00A4307A"/>
    <w:rsid w:val="00A46391"/>
    <w:rsid w:val="00A46DEF"/>
    <w:rsid w:val="00A47EBB"/>
    <w:rsid w:val="00A51CDD"/>
    <w:rsid w:val="00A563F8"/>
    <w:rsid w:val="00A56BBA"/>
    <w:rsid w:val="00A662F6"/>
    <w:rsid w:val="00A6730D"/>
    <w:rsid w:val="00A71625"/>
    <w:rsid w:val="00A71B9B"/>
    <w:rsid w:val="00A73289"/>
    <w:rsid w:val="00A751C7"/>
    <w:rsid w:val="00A75CF6"/>
    <w:rsid w:val="00A80008"/>
    <w:rsid w:val="00A805A9"/>
    <w:rsid w:val="00A84CE5"/>
    <w:rsid w:val="00A87844"/>
    <w:rsid w:val="00A9227B"/>
    <w:rsid w:val="00A97A55"/>
    <w:rsid w:val="00AA038C"/>
    <w:rsid w:val="00AA6577"/>
    <w:rsid w:val="00AA7A09"/>
    <w:rsid w:val="00AB3B50"/>
    <w:rsid w:val="00AB7F80"/>
    <w:rsid w:val="00AC05B1"/>
    <w:rsid w:val="00AC450C"/>
    <w:rsid w:val="00AC698B"/>
    <w:rsid w:val="00AD340B"/>
    <w:rsid w:val="00AD356C"/>
    <w:rsid w:val="00AE2914"/>
    <w:rsid w:val="00AE6D15"/>
    <w:rsid w:val="00AE7023"/>
    <w:rsid w:val="00AE78AA"/>
    <w:rsid w:val="00AF0EF3"/>
    <w:rsid w:val="00AF112F"/>
    <w:rsid w:val="00AF1F49"/>
    <w:rsid w:val="00AF2D81"/>
    <w:rsid w:val="00AF55A7"/>
    <w:rsid w:val="00AF69FA"/>
    <w:rsid w:val="00B04182"/>
    <w:rsid w:val="00B05ECF"/>
    <w:rsid w:val="00B0798D"/>
    <w:rsid w:val="00B07AE3"/>
    <w:rsid w:val="00B11430"/>
    <w:rsid w:val="00B12A5D"/>
    <w:rsid w:val="00B242F4"/>
    <w:rsid w:val="00B2477A"/>
    <w:rsid w:val="00B24D1C"/>
    <w:rsid w:val="00B30072"/>
    <w:rsid w:val="00B30481"/>
    <w:rsid w:val="00B31248"/>
    <w:rsid w:val="00B325F4"/>
    <w:rsid w:val="00B3312F"/>
    <w:rsid w:val="00B353EB"/>
    <w:rsid w:val="00B4016F"/>
    <w:rsid w:val="00B407AC"/>
    <w:rsid w:val="00B439C4"/>
    <w:rsid w:val="00B44D9F"/>
    <w:rsid w:val="00B4535E"/>
    <w:rsid w:val="00B52A8C"/>
    <w:rsid w:val="00B54707"/>
    <w:rsid w:val="00B56155"/>
    <w:rsid w:val="00B56AD0"/>
    <w:rsid w:val="00B62F11"/>
    <w:rsid w:val="00B63042"/>
    <w:rsid w:val="00B636A8"/>
    <w:rsid w:val="00B64CEF"/>
    <w:rsid w:val="00B64EF8"/>
    <w:rsid w:val="00B665C6"/>
    <w:rsid w:val="00B72AD8"/>
    <w:rsid w:val="00B74441"/>
    <w:rsid w:val="00B758A5"/>
    <w:rsid w:val="00B805AF"/>
    <w:rsid w:val="00B82BD5"/>
    <w:rsid w:val="00B869EC"/>
    <w:rsid w:val="00B87031"/>
    <w:rsid w:val="00B91823"/>
    <w:rsid w:val="00B92383"/>
    <w:rsid w:val="00B9397A"/>
    <w:rsid w:val="00B9633D"/>
    <w:rsid w:val="00B967D5"/>
    <w:rsid w:val="00B969B7"/>
    <w:rsid w:val="00B96C56"/>
    <w:rsid w:val="00B97A41"/>
    <w:rsid w:val="00BA2D87"/>
    <w:rsid w:val="00BA2EBE"/>
    <w:rsid w:val="00BB0222"/>
    <w:rsid w:val="00BB0F28"/>
    <w:rsid w:val="00BB4147"/>
    <w:rsid w:val="00BB458A"/>
    <w:rsid w:val="00BB693F"/>
    <w:rsid w:val="00BB6C11"/>
    <w:rsid w:val="00BC282D"/>
    <w:rsid w:val="00BC5953"/>
    <w:rsid w:val="00BC7A0F"/>
    <w:rsid w:val="00BD00D3"/>
    <w:rsid w:val="00BD1659"/>
    <w:rsid w:val="00BD3AA9"/>
    <w:rsid w:val="00BD4A18"/>
    <w:rsid w:val="00BD4DA7"/>
    <w:rsid w:val="00BD6DB2"/>
    <w:rsid w:val="00BD73A1"/>
    <w:rsid w:val="00BE11CF"/>
    <w:rsid w:val="00BE21AB"/>
    <w:rsid w:val="00BE2F5A"/>
    <w:rsid w:val="00BE55CB"/>
    <w:rsid w:val="00BE5F3C"/>
    <w:rsid w:val="00BE7067"/>
    <w:rsid w:val="00BF3BB2"/>
    <w:rsid w:val="00BF617A"/>
    <w:rsid w:val="00C000E3"/>
    <w:rsid w:val="00C01187"/>
    <w:rsid w:val="00C0379D"/>
    <w:rsid w:val="00C03931"/>
    <w:rsid w:val="00C04661"/>
    <w:rsid w:val="00C05FE3"/>
    <w:rsid w:val="00C07097"/>
    <w:rsid w:val="00C11DA9"/>
    <w:rsid w:val="00C2136D"/>
    <w:rsid w:val="00C214EE"/>
    <w:rsid w:val="00C2314B"/>
    <w:rsid w:val="00C244A0"/>
    <w:rsid w:val="00C24971"/>
    <w:rsid w:val="00C25355"/>
    <w:rsid w:val="00C26BE5"/>
    <w:rsid w:val="00C26E4D"/>
    <w:rsid w:val="00C27909"/>
    <w:rsid w:val="00C27B03"/>
    <w:rsid w:val="00C30ED6"/>
    <w:rsid w:val="00C314E1"/>
    <w:rsid w:val="00C33631"/>
    <w:rsid w:val="00C34397"/>
    <w:rsid w:val="00C36B2E"/>
    <w:rsid w:val="00C40503"/>
    <w:rsid w:val="00C4095D"/>
    <w:rsid w:val="00C51CD1"/>
    <w:rsid w:val="00C524D8"/>
    <w:rsid w:val="00C5652A"/>
    <w:rsid w:val="00C57218"/>
    <w:rsid w:val="00C57A9C"/>
    <w:rsid w:val="00C601D2"/>
    <w:rsid w:val="00C648B1"/>
    <w:rsid w:val="00C65BCC"/>
    <w:rsid w:val="00C66970"/>
    <w:rsid w:val="00C71F4D"/>
    <w:rsid w:val="00C72639"/>
    <w:rsid w:val="00C73436"/>
    <w:rsid w:val="00C762AA"/>
    <w:rsid w:val="00C86545"/>
    <w:rsid w:val="00C8691C"/>
    <w:rsid w:val="00C86CB4"/>
    <w:rsid w:val="00C910C9"/>
    <w:rsid w:val="00C95480"/>
    <w:rsid w:val="00C96295"/>
    <w:rsid w:val="00C96364"/>
    <w:rsid w:val="00C9682B"/>
    <w:rsid w:val="00CA03DF"/>
    <w:rsid w:val="00CA168A"/>
    <w:rsid w:val="00CA2097"/>
    <w:rsid w:val="00CA357E"/>
    <w:rsid w:val="00CA44F9"/>
    <w:rsid w:val="00CA4A69"/>
    <w:rsid w:val="00CB6E7F"/>
    <w:rsid w:val="00CB722E"/>
    <w:rsid w:val="00CC0690"/>
    <w:rsid w:val="00CC3E0C"/>
    <w:rsid w:val="00CC4948"/>
    <w:rsid w:val="00CC58D3"/>
    <w:rsid w:val="00CC784D"/>
    <w:rsid w:val="00CF1E15"/>
    <w:rsid w:val="00D00A8D"/>
    <w:rsid w:val="00D00BC8"/>
    <w:rsid w:val="00D02DFC"/>
    <w:rsid w:val="00D03268"/>
    <w:rsid w:val="00D0337B"/>
    <w:rsid w:val="00D07777"/>
    <w:rsid w:val="00D079B2"/>
    <w:rsid w:val="00D114E9"/>
    <w:rsid w:val="00D14EBC"/>
    <w:rsid w:val="00D17CD8"/>
    <w:rsid w:val="00D2009A"/>
    <w:rsid w:val="00D234BD"/>
    <w:rsid w:val="00D2527C"/>
    <w:rsid w:val="00D25514"/>
    <w:rsid w:val="00D27B80"/>
    <w:rsid w:val="00D313B3"/>
    <w:rsid w:val="00D35B8E"/>
    <w:rsid w:val="00D36572"/>
    <w:rsid w:val="00D40F07"/>
    <w:rsid w:val="00D429C6"/>
    <w:rsid w:val="00D472BF"/>
    <w:rsid w:val="00D47748"/>
    <w:rsid w:val="00D5178F"/>
    <w:rsid w:val="00D518DF"/>
    <w:rsid w:val="00D54CC3"/>
    <w:rsid w:val="00D56732"/>
    <w:rsid w:val="00D6041A"/>
    <w:rsid w:val="00D61258"/>
    <w:rsid w:val="00D633EB"/>
    <w:rsid w:val="00D67C03"/>
    <w:rsid w:val="00D67DCF"/>
    <w:rsid w:val="00D736AC"/>
    <w:rsid w:val="00D747AA"/>
    <w:rsid w:val="00D75A7E"/>
    <w:rsid w:val="00D763E3"/>
    <w:rsid w:val="00D82FF7"/>
    <w:rsid w:val="00D8358C"/>
    <w:rsid w:val="00D84271"/>
    <w:rsid w:val="00D847FE"/>
    <w:rsid w:val="00D85352"/>
    <w:rsid w:val="00D86B9C"/>
    <w:rsid w:val="00D900CD"/>
    <w:rsid w:val="00D90A39"/>
    <w:rsid w:val="00D91156"/>
    <w:rsid w:val="00D91CEC"/>
    <w:rsid w:val="00D964EA"/>
    <w:rsid w:val="00D96583"/>
    <w:rsid w:val="00D966D0"/>
    <w:rsid w:val="00DA0C59"/>
    <w:rsid w:val="00DA38CB"/>
    <w:rsid w:val="00DA3991"/>
    <w:rsid w:val="00DA72A1"/>
    <w:rsid w:val="00DA7F95"/>
    <w:rsid w:val="00DB01F1"/>
    <w:rsid w:val="00DB3222"/>
    <w:rsid w:val="00DB7E6C"/>
    <w:rsid w:val="00DC4D95"/>
    <w:rsid w:val="00DC4F68"/>
    <w:rsid w:val="00DC64B0"/>
    <w:rsid w:val="00DC6B1E"/>
    <w:rsid w:val="00DD252A"/>
    <w:rsid w:val="00DD41E0"/>
    <w:rsid w:val="00DD5949"/>
    <w:rsid w:val="00DD5A29"/>
    <w:rsid w:val="00DD5D9D"/>
    <w:rsid w:val="00DE1F47"/>
    <w:rsid w:val="00DE35CB"/>
    <w:rsid w:val="00DE5E24"/>
    <w:rsid w:val="00DE6F4D"/>
    <w:rsid w:val="00DE76B7"/>
    <w:rsid w:val="00DF0EF0"/>
    <w:rsid w:val="00DF21E9"/>
    <w:rsid w:val="00DF22C7"/>
    <w:rsid w:val="00DF5588"/>
    <w:rsid w:val="00DF5CC9"/>
    <w:rsid w:val="00E005D3"/>
    <w:rsid w:val="00E00F14"/>
    <w:rsid w:val="00E01CB8"/>
    <w:rsid w:val="00E06386"/>
    <w:rsid w:val="00E075C5"/>
    <w:rsid w:val="00E1051A"/>
    <w:rsid w:val="00E111F3"/>
    <w:rsid w:val="00E11668"/>
    <w:rsid w:val="00E118E7"/>
    <w:rsid w:val="00E11E70"/>
    <w:rsid w:val="00E122B7"/>
    <w:rsid w:val="00E21433"/>
    <w:rsid w:val="00E21B55"/>
    <w:rsid w:val="00E221D3"/>
    <w:rsid w:val="00E24EB4"/>
    <w:rsid w:val="00E253A2"/>
    <w:rsid w:val="00E273EA"/>
    <w:rsid w:val="00E30635"/>
    <w:rsid w:val="00E31B99"/>
    <w:rsid w:val="00E320ED"/>
    <w:rsid w:val="00E33AFB"/>
    <w:rsid w:val="00E34218"/>
    <w:rsid w:val="00E3451F"/>
    <w:rsid w:val="00E4400C"/>
    <w:rsid w:val="00E4555B"/>
    <w:rsid w:val="00E46282"/>
    <w:rsid w:val="00E5216E"/>
    <w:rsid w:val="00E536F3"/>
    <w:rsid w:val="00E54067"/>
    <w:rsid w:val="00E5529C"/>
    <w:rsid w:val="00E657C6"/>
    <w:rsid w:val="00E75D40"/>
    <w:rsid w:val="00E81965"/>
    <w:rsid w:val="00E81A88"/>
    <w:rsid w:val="00E82344"/>
    <w:rsid w:val="00E84C82"/>
    <w:rsid w:val="00E84D64"/>
    <w:rsid w:val="00E87408"/>
    <w:rsid w:val="00E90F5D"/>
    <w:rsid w:val="00E914C4"/>
    <w:rsid w:val="00E92FBF"/>
    <w:rsid w:val="00E934F5"/>
    <w:rsid w:val="00E96961"/>
    <w:rsid w:val="00EA4D0F"/>
    <w:rsid w:val="00EA72EC"/>
    <w:rsid w:val="00EB11CB"/>
    <w:rsid w:val="00EB1C71"/>
    <w:rsid w:val="00EB275A"/>
    <w:rsid w:val="00EB57CA"/>
    <w:rsid w:val="00EB786A"/>
    <w:rsid w:val="00EC1578"/>
    <w:rsid w:val="00EC1BFC"/>
    <w:rsid w:val="00EC1C72"/>
    <w:rsid w:val="00EC3356"/>
    <w:rsid w:val="00EC3CC9"/>
    <w:rsid w:val="00EC49C1"/>
    <w:rsid w:val="00EC5D85"/>
    <w:rsid w:val="00EC680A"/>
    <w:rsid w:val="00ED511C"/>
    <w:rsid w:val="00ED7229"/>
    <w:rsid w:val="00EE10C6"/>
    <w:rsid w:val="00EE10CF"/>
    <w:rsid w:val="00EE25CB"/>
    <w:rsid w:val="00EE2BED"/>
    <w:rsid w:val="00EE374B"/>
    <w:rsid w:val="00EE4A87"/>
    <w:rsid w:val="00EE7359"/>
    <w:rsid w:val="00EE79EC"/>
    <w:rsid w:val="00EF2869"/>
    <w:rsid w:val="00EF3850"/>
    <w:rsid w:val="00EF6655"/>
    <w:rsid w:val="00F035A0"/>
    <w:rsid w:val="00F04063"/>
    <w:rsid w:val="00F05D60"/>
    <w:rsid w:val="00F06E42"/>
    <w:rsid w:val="00F07224"/>
    <w:rsid w:val="00F07FD3"/>
    <w:rsid w:val="00F11BB5"/>
    <w:rsid w:val="00F1296C"/>
    <w:rsid w:val="00F1417B"/>
    <w:rsid w:val="00F1712D"/>
    <w:rsid w:val="00F17A17"/>
    <w:rsid w:val="00F208A0"/>
    <w:rsid w:val="00F2115E"/>
    <w:rsid w:val="00F25865"/>
    <w:rsid w:val="00F27B3D"/>
    <w:rsid w:val="00F30ABD"/>
    <w:rsid w:val="00F312BB"/>
    <w:rsid w:val="00F34B99"/>
    <w:rsid w:val="00F3673E"/>
    <w:rsid w:val="00F40B02"/>
    <w:rsid w:val="00F41E81"/>
    <w:rsid w:val="00F45445"/>
    <w:rsid w:val="00F456F1"/>
    <w:rsid w:val="00F51720"/>
    <w:rsid w:val="00F51CF2"/>
    <w:rsid w:val="00F52DAB"/>
    <w:rsid w:val="00F543F0"/>
    <w:rsid w:val="00F55863"/>
    <w:rsid w:val="00F55E3E"/>
    <w:rsid w:val="00F57601"/>
    <w:rsid w:val="00F61E2B"/>
    <w:rsid w:val="00F620E3"/>
    <w:rsid w:val="00F73F99"/>
    <w:rsid w:val="00F75F80"/>
    <w:rsid w:val="00F81D29"/>
    <w:rsid w:val="00F8354B"/>
    <w:rsid w:val="00F90BE5"/>
    <w:rsid w:val="00F91C4D"/>
    <w:rsid w:val="00F92FD9"/>
    <w:rsid w:val="00F95EDF"/>
    <w:rsid w:val="00FA37B1"/>
    <w:rsid w:val="00FA3E0B"/>
    <w:rsid w:val="00FA40CA"/>
    <w:rsid w:val="00FA5E20"/>
    <w:rsid w:val="00FA5EF7"/>
    <w:rsid w:val="00FA6157"/>
    <w:rsid w:val="00FA6684"/>
    <w:rsid w:val="00FA731E"/>
    <w:rsid w:val="00FA7BD0"/>
    <w:rsid w:val="00FB1095"/>
    <w:rsid w:val="00FB1DCF"/>
    <w:rsid w:val="00FB2B38"/>
    <w:rsid w:val="00FB602F"/>
    <w:rsid w:val="00FB61CE"/>
    <w:rsid w:val="00FB7A07"/>
    <w:rsid w:val="00FC04CC"/>
    <w:rsid w:val="00FC1F65"/>
    <w:rsid w:val="00FC2066"/>
    <w:rsid w:val="00FC6358"/>
    <w:rsid w:val="00FD1381"/>
    <w:rsid w:val="00FD320D"/>
    <w:rsid w:val="00FD522E"/>
    <w:rsid w:val="00FD6CCA"/>
    <w:rsid w:val="00FE1B98"/>
    <w:rsid w:val="00FE23DE"/>
    <w:rsid w:val="00FE653E"/>
    <w:rsid w:val="00FF00F7"/>
    <w:rsid w:val="00FF1801"/>
    <w:rsid w:val="00FF330A"/>
    <w:rsid w:val="00FF4EB3"/>
    <w:rsid w:val="00FF6842"/>
    <w:rsid w:val="00FF7997"/>
    <w:rsid w:val="0462095B"/>
    <w:rsid w:val="06064044"/>
    <w:rsid w:val="0AE172C5"/>
    <w:rsid w:val="0F9B0CB4"/>
    <w:rsid w:val="11485F45"/>
    <w:rsid w:val="1367270D"/>
    <w:rsid w:val="18613BEC"/>
    <w:rsid w:val="18EB43EE"/>
    <w:rsid w:val="1FEE3382"/>
    <w:rsid w:val="201F519A"/>
    <w:rsid w:val="210C2DC4"/>
    <w:rsid w:val="23203542"/>
    <w:rsid w:val="26604056"/>
    <w:rsid w:val="2BA4230B"/>
    <w:rsid w:val="2E1B6BB6"/>
    <w:rsid w:val="2F5279B1"/>
    <w:rsid w:val="2FF7F050"/>
    <w:rsid w:val="31AA5D50"/>
    <w:rsid w:val="31AE4176"/>
    <w:rsid w:val="32B23BF6"/>
    <w:rsid w:val="351B18C5"/>
    <w:rsid w:val="36F75F8E"/>
    <w:rsid w:val="37DEDA51"/>
    <w:rsid w:val="3BECBDE1"/>
    <w:rsid w:val="3E6E240E"/>
    <w:rsid w:val="3E7C0986"/>
    <w:rsid w:val="41DA4D98"/>
    <w:rsid w:val="43D23A86"/>
    <w:rsid w:val="447FE4D8"/>
    <w:rsid w:val="47304227"/>
    <w:rsid w:val="47FA7865"/>
    <w:rsid w:val="4AAD1396"/>
    <w:rsid w:val="4CEA6862"/>
    <w:rsid w:val="51F3479F"/>
    <w:rsid w:val="541D3002"/>
    <w:rsid w:val="56E9366F"/>
    <w:rsid w:val="5BE24475"/>
    <w:rsid w:val="5CBD2CAE"/>
    <w:rsid w:val="5D7FF710"/>
    <w:rsid w:val="607308F6"/>
    <w:rsid w:val="62D60F4C"/>
    <w:rsid w:val="633F7D7B"/>
    <w:rsid w:val="64BB5976"/>
    <w:rsid w:val="6D53CF38"/>
    <w:rsid w:val="6DE38292"/>
    <w:rsid w:val="6F0301A6"/>
    <w:rsid w:val="6F8E3A91"/>
    <w:rsid w:val="6FDF4D32"/>
    <w:rsid w:val="6FFBCA0E"/>
    <w:rsid w:val="6FFFCA1D"/>
    <w:rsid w:val="71CC3287"/>
    <w:rsid w:val="76DB5B60"/>
    <w:rsid w:val="7A5FEC13"/>
    <w:rsid w:val="7A7EB17C"/>
    <w:rsid w:val="7AFFC0AB"/>
    <w:rsid w:val="7DBFCDCC"/>
    <w:rsid w:val="7DF935B5"/>
    <w:rsid w:val="7DFAABC2"/>
    <w:rsid w:val="7E417D92"/>
    <w:rsid w:val="7FFEDEC1"/>
    <w:rsid w:val="7FFF3434"/>
    <w:rsid w:val="8FEB7C5C"/>
    <w:rsid w:val="AFFB137D"/>
    <w:rsid w:val="BDBE293E"/>
    <w:rsid w:val="BDFF894F"/>
    <w:rsid w:val="CD5BDCB0"/>
    <w:rsid w:val="DE2F0D90"/>
    <w:rsid w:val="DEF34486"/>
    <w:rsid w:val="E2FE4633"/>
    <w:rsid w:val="E779489F"/>
    <w:rsid w:val="EB7F3745"/>
    <w:rsid w:val="EE5B9EAD"/>
    <w:rsid w:val="EF6FCE5B"/>
    <w:rsid w:val="EF9B0240"/>
    <w:rsid w:val="EFF7496A"/>
    <w:rsid w:val="F25FE7F5"/>
    <w:rsid w:val="F3B7AB9D"/>
    <w:rsid w:val="F6EB17C5"/>
    <w:rsid w:val="F7FF0C3A"/>
    <w:rsid w:val="F83308BC"/>
    <w:rsid w:val="FB9F6C02"/>
    <w:rsid w:val="FBE2D01F"/>
    <w:rsid w:val="FDFFF2E5"/>
    <w:rsid w:val="FED9C201"/>
    <w:rsid w:val="FEDFA67A"/>
    <w:rsid w:val="FF9C9AB1"/>
    <w:rsid w:val="FFDF1155"/>
    <w:rsid w:val="FFEE3AD9"/>
    <w:rsid w:val="FFFABB5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semiHidden="0" w:name="footnote text"/>
    <w:lsdException w:qFormat="1"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iPriority="0" w:name="annotation reference"/>
    <w:lsdException w:uiPriority="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semiHidden="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48"/>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autoRedefine/>
    <w:semiHidden/>
    <w:qFormat/>
    <w:uiPriority w:val="0"/>
    <w:pPr>
      <w:tabs>
        <w:tab w:val="right" w:leader="dot" w:pos="9241"/>
      </w:tabs>
      <w:ind w:firstLine="505" w:firstLineChars="500"/>
      <w:jc w:val="left"/>
    </w:pPr>
    <w:rPr>
      <w:rFonts w:ascii="宋体"/>
      <w:szCs w:val="21"/>
    </w:rPr>
  </w:style>
  <w:style w:type="paragraph" w:styleId="5">
    <w:name w:val="index 8"/>
    <w:basedOn w:val="1"/>
    <w:next w:val="1"/>
    <w:qFormat/>
    <w:uiPriority w:val="0"/>
    <w:pPr>
      <w:ind w:left="1680" w:hanging="210"/>
      <w:jc w:val="left"/>
    </w:pPr>
    <w:rPr>
      <w:rFonts w:ascii="Calibri" w:hAnsi="Calibri"/>
      <w:sz w:val="20"/>
      <w:szCs w:val="20"/>
    </w:rPr>
  </w:style>
  <w:style w:type="paragraph" w:styleId="6">
    <w:name w:val="caption"/>
    <w:basedOn w:val="1"/>
    <w:next w:val="1"/>
    <w:autoRedefine/>
    <w:qFormat/>
    <w:uiPriority w:val="0"/>
    <w:pPr>
      <w:spacing w:before="152" w:after="160"/>
    </w:pPr>
    <w:rPr>
      <w:rFonts w:ascii="Arial" w:hAnsi="Arial" w:eastAsia="黑体" w:cs="Arial"/>
      <w:sz w:val="20"/>
      <w:szCs w:val="20"/>
    </w:rPr>
  </w:style>
  <w:style w:type="paragraph" w:styleId="7">
    <w:name w:val="index 5"/>
    <w:basedOn w:val="1"/>
    <w:next w:val="1"/>
    <w:qFormat/>
    <w:uiPriority w:val="0"/>
    <w:pPr>
      <w:ind w:left="1050" w:hanging="210"/>
      <w:jc w:val="left"/>
    </w:pPr>
    <w:rPr>
      <w:rFonts w:ascii="Calibri" w:hAnsi="Calibri"/>
      <w:sz w:val="20"/>
      <w:szCs w:val="20"/>
    </w:rPr>
  </w:style>
  <w:style w:type="paragraph" w:styleId="8">
    <w:name w:val="Document Map"/>
    <w:basedOn w:val="1"/>
    <w:autoRedefine/>
    <w:semiHidden/>
    <w:qFormat/>
    <w:uiPriority w:val="0"/>
    <w:pPr>
      <w:shd w:val="clear" w:color="auto" w:fill="000080"/>
    </w:pPr>
  </w:style>
  <w:style w:type="paragraph" w:styleId="9">
    <w:name w:val="annotation text"/>
    <w:basedOn w:val="1"/>
    <w:link w:val="150"/>
    <w:autoRedefine/>
    <w:semiHidden/>
    <w:unhideWhenUsed/>
    <w:qFormat/>
    <w:uiPriority w:val="0"/>
    <w:pPr>
      <w:jc w:val="left"/>
    </w:pPr>
  </w:style>
  <w:style w:type="paragraph" w:styleId="10">
    <w:name w:val="index 6"/>
    <w:basedOn w:val="1"/>
    <w:next w:val="1"/>
    <w:autoRedefine/>
    <w:qFormat/>
    <w:uiPriority w:val="0"/>
    <w:pPr>
      <w:ind w:left="1260" w:hanging="210"/>
      <w:jc w:val="left"/>
    </w:pPr>
    <w:rPr>
      <w:rFonts w:ascii="Calibri" w:hAnsi="Calibri"/>
      <w:sz w:val="20"/>
      <w:szCs w:val="20"/>
    </w:rPr>
  </w:style>
  <w:style w:type="paragraph" w:styleId="11">
    <w:name w:val="index 4"/>
    <w:basedOn w:val="1"/>
    <w:next w:val="1"/>
    <w:autoRedefine/>
    <w:qFormat/>
    <w:uiPriority w:val="0"/>
    <w:pPr>
      <w:ind w:left="840" w:hanging="210"/>
      <w:jc w:val="left"/>
    </w:pPr>
    <w:rPr>
      <w:rFonts w:ascii="Calibri" w:hAnsi="Calibri"/>
      <w:sz w:val="20"/>
      <w:szCs w:val="20"/>
    </w:rPr>
  </w:style>
  <w:style w:type="paragraph" w:styleId="12">
    <w:name w:val="toc 5"/>
    <w:basedOn w:val="1"/>
    <w:next w:val="1"/>
    <w:semiHidden/>
    <w:qFormat/>
    <w:uiPriority w:val="0"/>
    <w:pPr>
      <w:tabs>
        <w:tab w:val="right" w:leader="dot" w:pos="9241"/>
      </w:tabs>
      <w:ind w:firstLine="300" w:firstLineChars="300"/>
      <w:jc w:val="left"/>
    </w:pPr>
    <w:rPr>
      <w:rFonts w:ascii="宋体"/>
      <w:szCs w:val="21"/>
    </w:rPr>
  </w:style>
  <w:style w:type="paragraph" w:styleId="13">
    <w:name w:val="toc 3"/>
    <w:basedOn w:val="1"/>
    <w:next w:val="1"/>
    <w:autoRedefine/>
    <w:qFormat/>
    <w:uiPriority w:val="39"/>
    <w:pPr>
      <w:tabs>
        <w:tab w:val="right" w:leader="dot" w:pos="9241"/>
      </w:tabs>
      <w:ind w:firstLine="102" w:firstLineChars="100"/>
      <w:jc w:val="left"/>
    </w:pPr>
    <w:rPr>
      <w:rFonts w:ascii="宋体"/>
      <w:szCs w:val="21"/>
    </w:rPr>
  </w:style>
  <w:style w:type="paragraph" w:styleId="14">
    <w:name w:val="toc 8"/>
    <w:basedOn w:val="1"/>
    <w:next w:val="1"/>
    <w:autoRedefine/>
    <w:semiHidden/>
    <w:qFormat/>
    <w:uiPriority w:val="0"/>
    <w:pPr>
      <w:tabs>
        <w:tab w:val="right" w:leader="dot" w:pos="9241"/>
      </w:tabs>
      <w:ind w:firstLine="607" w:firstLineChars="600"/>
      <w:jc w:val="left"/>
    </w:pPr>
    <w:rPr>
      <w:rFonts w:ascii="宋体"/>
      <w:szCs w:val="21"/>
    </w:rPr>
  </w:style>
  <w:style w:type="paragraph" w:styleId="15">
    <w:name w:val="index 3"/>
    <w:basedOn w:val="1"/>
    <w:next w:val="1"/>
    <w:qFormat/>
    <w:uiPriority w:val="0"/>
    <w:pPr>
      <w:ind w:left="630" w:hanging="210"/>
      <w:jc w:val="left"/>
    </w:pPr>
    <w:rPr>
      <w:rFonts w:ascii="Calibri" w:hAnsi="Calibri"/>
      <w:sz w:val="20"/>
      <w:szCs w:val="20"/>
    </w:rPr>
  </w:style>
  <w:style w:type="paragraph" w:styleId="16">
    <w:name w:val="endnote text"/>
    <w:basedOn w:val="1"/>
    <w:semiHidden/>
    <w:qFormat/>
    <w:uiPriority w:val="0"/>
    <w:pPr>
      <w:snapToGrid w:val="0"/>
      <w:jc w:val="left"/>
    </w:pPr>
  </w:style>
  <w:style w:type="paragraph" w:styleId="17">
    <w:name w:val="Balloon Text"/>
    <w:basedOn w:val="1"/>
    <w:link w:val="146"/>
    <w:qFormat/>
    <w:uiPriority w:val="0"/>
    <w:rPr>
      <w:sz w:val="18"/>
      <w:szCs w:val="18"/>
    </w:rPr>
  </w:style>
  <w:style w:type="paragraph" w:styleId="18">
    <w:name w:val="footer"/>
    <w:basedOn w:val="1"/>
    <w:qFormat/>
    <w:uiPriority w:val="0"/>
    <w:pPr>
      <w:snapToGrid w:val="0"/>
      <w:ind w:right="210" w:rightChars="100"/>
      <w:jc w:val="right"/>
    </w:pPr>
    <w:rPr>
      <w:sz w:val="18"/>
      <w:szCs w:val="18"/>
    </w:rPr>
  </w:style>
  <w:style w:type="paragraph" w:styleId="19">
    <w:name w:val="header"/>
    <w:basedOn w:val="1"/>
    <w:link w:val="152"/>
    <w:qFormat/>
    <w:uiPriority w:val="0"/>
    <w:pPr>
      <w:snapToGrid w:val="0"/>
      <w:jc w:val="left"/>
    </w:pPr>
    <w:rPr>
      <w:sz w:val="18"/>
      <w:szCs w:val="18"/>
    </w:rPr>
  </w:style>
  <w:style w:type="paragraph" w:styleId="20">
    <w:name w:val="toc 1"/>
    <w:basedOn w:val="1"/>
    <w:next w:val="1"/>
    <w:qFormat/>
    <w:uiPriority w:val="39"/>
    <w:pPr>
      <w:tabs>
        <w:tab w:val="right" w:leader="dot" w:pos="9241"/>
      </w:tabs>
      <w:spacing w:beforeLines="25" w:afterLines="25"/>
      <w:jc w:val="left"/>
    </w:pPr>
    <w:rPr>
      <w:rFonts w:ascii="宋体"/>
      <w:szCs w:val="21"/>
    </w:rPr>
  </w:style>
  <w:style w:type="paragraph" w:styleId="21">
    <w:name w:val="toc 4"/>
    <w:basedOn w:val="1"/>
    <w:next w:val="1"/>
    <w:semiHidden/>
    <w:qFormat/>
    <w:uiPriority w:val="0"/>
    <w:pPr>
      <w:tabs>
        <w:tab w:val="right" w:leader="dot" w:pos="9241"/>
      </w:tabs>
      <w:ind w:firstLine="198" w:firstLineChars="200"/>
      <w:jc w:val="left"/>
    </w:pPr>
    <w:rPr>
      <w:rFonts w:ascii="宋体"/>
      <w:szCs w:val="21"/>
    </w:rPr>
  </w:style>
  <w:style w:type="paragraph" w:styleId="22">
    <w:name w:val="index heading"/>
    <w:basedOn w:val="1"/>
    <w:next w:val="23"/>
    <w:qFormat/>
    <w:uiPriority w:val="0"/>
    <w:pPr>
      <w:spacing w:before="120" w:after="120"/>
      <w:jc w:val="center"/>
    </w:pPr>
    <w:rPr>
      <w:rFonts w:ascii="Calibri" w:hAnsi="Calibri"/>
      <w:b/>
      <w:bCs/>
      <w:iCs/>
      <w:szCs w:val="20"/>
    </w:rPr>
  </w:style>
  <w:style w:type="paragraph" w:styleId="23">
    <w:name w:val="index 1"/>
    <w:basedOn w:val="1"/>
    <w:next w:val="24"/>
    <w:qFormat/>
    <w:uiPriority w:val="0"/>
    <w:pPr>
      <w:tabs>
        <w:tab w:val="right" w:leader="dot" w:pos="9299"/>
      </w:tabs>
      <w:jc w:val="left"/>
    </w:pPr>
    <w:rPr>
      <w:rFonts w:ascii="宋体"/>
      <w:szCs w:val="21"/>
    </w:rPr>
  </w:style>
  <w:style w:type="paragraph" w:customStyle="1" w:styleId="24">
    <w:name w:val="段"/>
    <w:link w:val="70"/>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5">
    <w:name w:val="footnote text"/>
    <w:basedOn w:val="1"/>
    <w:qFormat/>
    <w:uiPriority w:val="0"/>
    <w:pPr>
      <w:numPr>
        <w:ilvl w:val="0"/>
        <w:numId w:val="1"/>
      </w:numPr>
      <w:snapToGrid w:val="0"/>
      <w:jc w:val="left"/>
    </w:pPr>
    <w:rPr>
      <w:rFonts w:ascii="宋体"/>
      <w:sz w:val="18"/>
      <w:szCs w:val="18"/>
    </w:rPr>
  </w:style>
  <w:style w:type="paragraph" w:styleId="26">
    <w:name w:val="toc 6"/>
    <w:basedOn w:val="1"/>
    <w:next w:val="1"/>
    <w:semiHidden/>
    <w:qFormat/>
    <w:uiPriority w:val="0"/>
    <w:pPr>
      <w:tabs>
        <w:tab w:val="right" w:leader="dot" w:pos="9241"/>
      </w:tabs>
      <w:ind w:firstLine="403" w:firstLineChars="400"/>
      <w:jc w:val="left"/>
    </w:pPr>
    <w:rPr>
      <w:rFonts w:ascii="宋体"/>
      <w:szCs w:val="21"/>
    </w:rPr>
  </w:style>
  <w:style w:type="paragraph" w:styleId="27">
    <w:name w:val="index 7"/>
    <w:basedOn w:val="1"/>
    <w:next w:val="1"/>
    <w:qFormat/>
    <w:uiPriority w:val="0"/>
    <w:pPr>
      <w:ind w:left="1470" w:hanging="210"/>
      <w:jc w:val="left"/>
    </w:pPr>
    <w:rPr>
      <w:rFonts w:ascii="Calibri" w:hAnsi="Calibri"/>
      <w:sz w:val="20"/>
      <w:szCs w:val="20"/>
    </w:rPr>
  </w:style>
  <w:style w:type="paragraph" w:styleId="28">
    <w:name w:val="index 9"/>
    <w:basedOn w:val="1"/>
    <w:next w:val="1"/>
    <w:qFormat/>
    <w:uiPriority w:val="0"/>
    <w:pPr>
      <w:ind w:left="1890" w:hanging="210"/>
      <w:jc w:val="left"/>
    </w:pPr>
    <w:rPr>
      <w:rFonts w:ascii="Calibri" w:hAnsi="Calibri"/>
      <w:sz w:val="20"/>
      <w:szCs w:val="20"/>
    </w:rPr>
  </w:style>
  <w:style w:type="paragraph" w:styleId="29">
    <w:name w:val="toc 2"/>
    <w:basedOn w:val="1"/>
    <w:next w:val="1"/>
    <w:qFormat/>
    <w:uiPriority w:val="39"/>
    <w:pPr>
      <w:tabs>
        <w:tab w:val="right" w:leader="dot" w:pos="9241"/>
      </w:tabs>
    </w:pPr>
    <w:rPr>
      <w:rFonts w:ascii="宋体"/>
      <w:szCs w:val="21"/>
    </w:rPr>
  </w:style>
  <w:style w:type="paragraph" w:styleId="30">
    <w:name w:val="toc 9"/>
    <w:basedOn w:val="1"/>
    <w:next w:val="1"/>
    <w:semiHidden/>
    <w:qFormat/>
    <w:uiPriority w:val="0"/>
    <w:pPr>
      <w:ind w:left="1470"/>
      <w:jc w:val="left"/>
    </w:pPr>
    <w:rPr>
      <w:sz w:val="20"/>
      <w:szCs w:val="20"/>
    </w:rPr>
  </w:style>
  <w:style w:type="paragraph" w:styleId="31">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3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33">
    <w:name w:val="index 2"/>
    <w:basedOn w:val="1"/>
    <w:next w:val="1"/>
    <w:qFormat/>
    <w:uiPriority w:val="0"/>
    <w:pPr>
      <w:ind w:left="420" w:hanging="210"/>
      <w:jc w:val="left"/>
    </w:pPr>
    <w:rPr>
      <w:rFonts w:ascii="Calibri" w:hAnsi="Calibri"/>
      <w:sz w:val="20"/>
      <w:szCs w:val="20"/>
    </w:rPr>
  </w:style>
  <w:style w:type="paragraph" w:styleId="34">
    <w:name w:val="annotation subject"/>
    <w:basedOn w:val="9"/>
    <w:next w:val="9"/>
    <w:link w:val="151"/>
    <w:semiHidden/>
    <w:unhideWhenUsed/>
    <w:qFormat/>
    <w:uiPriority w:val="0"/>
    <w:rPr>
      <w:b/>
      <w:bCs/>
    </w:rPr>
  </w:style>
  <w:style w:type="table" w:styleId="36">
    <w:name w:val="Table Grid"/>
    <w:basedOn w:val="35"/>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8">
    <w:name w:val="endnote reference"/>
    <w:semiHidden/>
    <w:qFormat/>
    <w:uiPriority w:val="0"/>
    <w:rPr>
      <w:vertAlign w:val="superscript"/>
    </w:rPr>
  </w:style>
  <w:style w:type="character" w:styleId="39">
    <w:name w:val="page number"/>
    <w:qFormat/>
    <w:uiPriority w:val="0"/>
    <w:rPr>
      <w:rFonts w:ascii="Times New Roman" w:hAnsi="Times New Roman" w:eastAsia="宋体"/>
      <w:sz w:val="18"/>
    </w:rPr>
  </w:style>
  <w:style w:type="character" w:styleId="40">
    <w:name w:val="FollowedHyperlink"/>
    <w:qFormat/>
    <w:uiPriority w:val="0"/>
    <w:rPr>
      <w:color w:val="800080"/>
      <w:u w:val="single"/>
    </w:rPr>
  </w:style>
  <w:style w:type="character" w:styleId="41">
    <w:name w:val="Emphasis"/>
    <w:basedOn w:val="37"/>
    <w:qFormat/>
    <w:uiPriority w:val="20"/>
    <w:rPr>
      <w:i/>
      <w:iCs/>
    </w:rPr>
  </w:style>
  <w:style w:type="character" w:styleId="42">
    <w:name w:val="Hyperlink"/>
    <w:qFormat/>
    <w:uiPriority w:val="99"/>
    <w:rPr>
      <w:color w:val="0000FF"/>
      <w:spacing w:val="0"/>
      <w:w w:val="100"/>
      <w:szCs w:val="21"/>
      <w:u w:val="single"/>
    </w:rPr>
  </w:style>
  <w:style w:type="character" w:styleId="43">
    <w:name w:val="annotation reference"/>
    <w:basedOn w:val="37"/>
    <w:semiHidden/>
    <w:unhideWhenUsed/>
    <w:qFormat/>
    <w:uiPriority w:val="0"/>
    <w:rPr>
      <w:sz w:val="21"/>
      <w:szCs w:val="21"/>
    </w:rPr>
  </w:style>
  <w:style w:type="character" w:styleId="44">
    <w:name w:val="footnote reference"/>
    <w:semiHidden/>
    <w:qFormat/>
    <w:uiPriority w:val="0"/>
    <w:rPr>
      <w:vertAlign w:val="superscript"/>
    </w:rPr>
  </w:style>
  <w:style w:type="character" w:customStyle="1" w:styleId="45">
    <w:name w:val="标题 1 字符"/>
    <w:basedOn w:val="37"/>
    <w:link w:val="2"/>
    <w:qFormat/>
    <w:uiPriority w:val="0"/>
    <w:rPr>
      <w:b/>
      <w:bCs/>
      <w:kern w:val="44"/>
      <w:sz w:val="44"/>
      <w:szCs w:val="44"/>
    </w:rPr>
  </w:style>
  <w:style w:type="paragraph" w:customStyle="1" w:styleId="46">
    <w:name w:val="封面标准文稿类别"/>
    <w:basedOn w:val="47"/>
    <w:qFormat/>
    <w:uiPriority w:val="0"/>
    <w:pPr>
      <w:framePr w:wrap="around"/>
      <w:spacing w:after="160" w:line="240" w:lineRule="auto"/>
    </w:pPr>
    <w:rPr>
      <w:sz w:val="24"/>
    </w:rPr>
  </w:style>
  <w:style w:type="paragraph" w:customStyle="1" w:styleId="47">
    <w:name w:val="封面一致性程度标识"/>
    <w:basedOn w:val="48"/>
    <w:qFormat/>
    <w:uiPriority w:val="0"/>
    <w:pPr>
      <w:framePr w:wrap="around"/>
      <w:spacing w:before="440"/>
    </w:pPr>
    <w:rPr>
      <w:rFonts w:ascii="宋体" w:eastAsia="宋体"/>
    </w:rPr>
  </w:style>
  <w:style w:type="paragraph" w:customStyle="1" w:styleId="48">
    <w:name w:val="封面标准英文名称"/>
    <w:basedOn w:val="49"/>
    <w:qFormat/>
    <w:uiPriority w:val="0"/>
    <w:pPr>
      <w:framePr w:wrap="around"/>
      <w:spacing w:before="370" w:line="400" w:lineRule="exact"/>
    </w:pPr>
    <w:rPr>
      <w:rFonts w:ascii="Times New Roman"/>
      <w:sz w:val="28"/>
      <w:szCs w:val="28"/>
    </w:rPr>
  </w:style>
  <w:style w:type="paragraph" w:customStyle="1" w:styleId="49">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50">
    <w:name w:val="一级条标题"/>
    <w:next w:val="24"/>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51">
    <w:name w:val="章标题"/>
    <w:next w:val="24"/>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52">
    <w:name w:val="二级条标题"/>
    <w:basedOn w:val="50"/>
    <w:next w:val="24"/>
    <w:qFormat/>
    <w:uiPriority w:val="0"/>
    <w:pPr>
      <w:numPr>
        <w:ilvl w:val="2"/>
      </w:numPr>
      <w:spacing w:before="50" w:after="50"/>
      <w:outlineLvl w:val="3"/>
    </w:pPr>
  </w:style>
  <w:style w:type="paragraph" w:customStyle="1" w:styleId="53">
    <w:name w:val="三级条标题"/>
    <w:basedOn w:val="52"/>
    <w:next w:val="24"/>
    <w:qFormat/>
    <w:uiPriority w:val="0"/>
    <w:pPr>
      <w:numPr>
        <w:ilvl w:val="3"/>
      </w:numPr>
      <w:outlineLvl w:val="4"/>
    </w:pPr>
  </w:style>
  <w:style w:type="paragraph" w:customStyle="1" w:styleId="54">
    <w:name w:val="四级条标题"/>
    <w:basedOn w:val="53"/>
    <w:next w:val="24"/>
    <w:qFormat/>
    <w:uiPriority w:val="0"/>
    <w:pPr>
      <w:numPr>
        <w:ilvl w:val="4"/>
      </w:numPr>
      <w:outlineLvl w:val="5"/>
    </w:pPr>
  </w:style>
  <w:style w:type="paragraph" w:customStyle="1" w:styleId="55">
    <w:name w:val="五级条标题"/>
    <w:basedOn w:val="54"/>
    <w:next w:val="24"/>
    <w:qFormat/>
    <w:uiPriority w:val="0"/>
    <w:pPr>
      <w:numPr>
        <w:ilvl w:val="5"/>
      </w:numPr>
      <w:outlineLvl w:val="6"/>
    </w:pPr>
  </w:style>
  <w:style w:type="paragraph" w:customStyle="1" w:styleId="56">
    <w:name w:val="前言、引言标题"/>
    <w:next w:val="24"/>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57">
    <w:name w:val="二级无"/>
    <w:basedOn w:val="52"/>
    <w:qFormat/>
    <w:uiPriority w:val="0"/>
    <w:pPr>
      <w:spacing w:beforeLines="0" w:afterLines="0"/>
    </w:pPr>
    <w:rPr>
      <w:rFonts w:ascii="宋体" w:eastAsia="宋体"/>
    </w:rPr>
  </w:style>
  <w:style w:type="paragraph" w:customStyle="1" w:styleId="58">
    <w:name w:val="三级无"/>
    <w:basedOn w:val="53"/>
    <w:qFormat/>
    <w:uiPriority w:val="0"/>
    <w:pPr>
      <w:spacing w:beforeLines="0" w:afterLines="0"/>
    </w:pPr>
    <w:rPr>
      <w:rFonts w:ascii="宋体" w:eastAsia="宋体"/>
    </w:rPr>
  </w:style>
  <w:style w:type="paragraph" w:customStyle="1" w:styleId="59">
    <w:name w:val="一级无"/>
    <w:basedOn w:val="50"/>
    <w:qFormat/>
    <w:uiPriority w:val="0"/>
    <w:pPr>
      <w:spacing w:beforeLines="0" w:afterLines="0"/>
    </w:pPr>
    <w:rPr>
      <w:rFonts w:ascii="宋体" w:eastAsia="宋体"/>
    </w:rPr>
  </w:style>
  <w:style w:type="paragraph" w:customStyle="1" w:styleId="60">
    <w:name w:val="数字编号列项（二级）"/>
    <w:qFormat/>
    <w:uiPriority w:val="0"/>
    <w:pPr>
      <w:numPr>
        <w:ilvl w:val="1"/>
        <w:numId w:val="3"/>
      </w:numPr>
      <w:jc w:val="both"/>
    </w:pPr>
    <w:rPr>
      <w:rFonts w:ascii="宋体" w:hAnsi="Times New Roman" w:eastAsia="宋体" w:cs="Times New Roman"/>
      <w:sz w:val="21"/>
      <w:lang w:val="en-US" w:eastAsia="zh-CN" w:bidi="ar-SA"/>
    </w:rPr>
  </w:style>
  <w:style w:type="paragraph" w:customStyle="1" w:styleId="61">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62">
    <w:name w:val="编号列项（三级）"/>
    <w:qFormat/>
    <w:uiPriority w:val="0"/>
    <w:pPr>
      <w:numPr>
        <w:ilvl w:val="2"/>
        <w:numId w:val="3"/>
      </w:numPr>
      <w:tabs>
        <w:tab w:val="left" w:pos="0"/>
      </w:tabs>
    </w:pPr>
    <w:rPr>
      <w:rFonts w:ascii="宋体" w:hAnsi="Times New Roman" w:eastAsia="宋体" w:cs="Times New Roman"/>
      <w:sz w:val="21"/>
      <w:lang w:val="en-US" w:eastAsia="zh-CN" w:bidi="ar-SA"/>
    </w:rPr>
  </w:style>
  <w:style w:type="paragraph" w:customStyle="1" w:styleId="63">
    <w:name w:val="附录标识"/>
    <w:basedOn w:val="1"/>
    <w:next w:val="24"/>
    <w:qFormat/>
    <w:uiPriority w:val="0"/>
    <w:pPr>
      <w:keepNext/>
      <w:pageBreakBefore/>
      <w:widowControl/>
      <w:numPr>
        <w:ilvl w:val="0"/>
        <w:numId w:val="4"/>
      </w:numPr>
      <w:shd w:val="clear" w:color="FFFFFF" w:fill="FFFFFF"/>
      <w:tabs>
        <w:tab w:val="left" w:pos="360"/>
        <w:tab w:val="left" w:pos="6405"/>
      </w:tabs>
      <w:spacing w:before="640"/>
      <w:jc w:val="center"/>
      <w:outlineLvl w:val="0"/>
    </w:pPr>
    <w:rPr>
      <w:rFonts w:ascii="Songti SC Black" w:hAnsi="Songti SC Black" w:eastAsia="Songti SC Black"/>
      <w:kern w:val="0"/>
      <w:szCs w:val="20"/>
    </w:rPr>
  </w:style>
  <w:style w:type="paragraph" w:customStyle="1" w:styleId="64">
    <w:name w:val="附录章标题"/>
    <w:next w:val="24"/>
    <w:qFormat/>
    <w:uiPriority w:val="0"/>
    <w:pPr>
      <w:numPr>
        <w:ilvl w:val="1"/>
        <w:numId w:val="4"/>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65">
    <w:name w:val="附录一级条标题"/>
    <w:basedOn w:val="64"/>
    <w:next w:val="24"/>
    <w:qFormat/>
    <w:uiPriority w:val="0"/>
    <w:pPr>
      <w:numPr>
        <w:ilvl w:val="2"/>
      </w:numPr>
      <w:autoSpaceDN w:val="0"/>
      <w:spacing w:beforeLines="50" w:afterLines="50"/>
      <w:outlineLvl w:val="2"/>
    </w:pPr>
  </w:style>
  <w:style w:type="paragraph" w:customStyle="1" w:styleId="66">
    <w:name w:val="附录二级条标题"/>
    <w:basedOn w:val="1"/>
    <w:next w:val="24"/>
    <w:qFormat/>
    <w:uiPriority w:val="0"/>
    <w:pPr>
      <w:widowControl/>
      <w:numPr>
        <w:ilvl w:val="3"/>
        <w:numId w:val="4"/>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67">
    <w:name w:val="附录三级条标题"/>
    <w:basedOn w:val="66"/>
    <w:next w:val="24"/>
    <w:qFormat/>
    <w:uiPriority w:val="0"/>
    <w:pPr>
      <w:numPr>
        <w:ilvl w:val="4"/>
      </w:numPr>
      <w:outlineLvl w:val="4"/>
    </w:pPr>
  </w:style>
  <w:style w:type="paragraph" w:customStyle="1" w:styleId="68">
    <w:name w:val="附录四级条标题"/>
    <w:basedOn w:val="67"/>
    <w:next w:val="24"/>
    <w:qFormat/>
    <w:uiPriority w:val="0"/>
    <w:pPr>
      <w:numPr>
        <w:ilvl w:val="5"/>
      </w:numPr>
      <w:outlineLvl w:val="5"/>
    </w:pPr>
  </w:style>
  <w:style w:type="paragraph" w:customStyle="1" w:styleId="69">
    <w:name w:val="附录五级条标题"/>
    <w:basedOn w:val="68"/>
    <w:next w:val="24"/>
    <w:qFormat/>
    <w:uiPriority w:val="0"/>
    <w:pPr>
      <w:numPr>
        <w:ilvl w:val="6"/>
      </w:numPr>
      <w:outlineLvl w:val="6"/>
    </w:pPr>
  </w:style>
  <w:style w:type="character" w:customStyle="1" w:styleId="70">
    <w:name w:val="段 Char"/>
    <w:link w:val="24"/>
    <w:qFormat/>
    <w:uiPriority w:val="0"/>
    <w:rPr>
      <w:rFonts w:ascii="宋体"/>
      <w:sz w:val="21"/>
      <w:lang w:val="en-US" w:eastAsia="zh-CN" w:bidi="ar-SA"/>
    </w:rPr>
  </w:style>
  <w:style w:type="paragraph" w:customStyle="1" w:styleId="71">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72">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73">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74">
    <w:name w:val="列项——（一级）"/>
    <w:autoRedefine/>
    <w:qFormat/>
    <w:uiPriority w:val="0"/>
    <w:pPr>
      <w:widowControl w:val="0"/>
      <w:numPr>
        <w:ilvl w:val="0"/>
        <w:numId w:val="5"/>
      </w:numPr>
      <w:jc w:val="both"/>
    </w:pPr>
    <w:rPr>
      <w:rFonts w:ascii="宋体" w:hAnsi="Times New Roman" w:eastAsia="宋体" w:cs="Times New Roman"/>
      <w:sz w:val="21"/>
      <w:lang w:val="en-US" w:eastAsia="zh-CN" w:bidi="ar-SA"/>
    </w:rPr>
  </w:style>
  <w:style w:type="paragraph" w:customStyle="1" w:styleId="75">
    <w:name w:val="列项●（二级）"/>
    <w:qFormat/>
    <w:uiPriority w:val="0"/>
    <w:pPr>
      <w:numPr>
        <w:ilvl w:val="1"/>
        <w:numId w:val="5"/>
      </w:numPr>
      <w:tabs>
        <w:tab w:val="left" w:pos="840"/>
      </w:tabs>
      <w:jc w:val="both"/>
    </w:pPr>
    <w:rPr>
      <w:rFonts w:ascii="宋体" w:hAnsi="Times New Roman" w:eastAsia="宋体" w:cs="Times New Roman"/>
      <w:sz w:val="21"/>
      <w:lang w:val="en-US" w:eastAsia="zh-CN" w:bidi="ar-SA"/>
    </w:rPr>
  </w:style>
  <w:style w:type="paragraph" w:customStyle="1" w:styleId="76">
    <w:name w:val="目次、标准名称标题"/>
    <w:basedOn w:val="1"/>
    <w:next w:val="24"/>
    <w:link w:val="144"/>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77">
    <w:name w:val="示例"/>
    <w:next w:val="78"/>
    <w:qFormat/>
    <w:uiPriority w:val="0"/>
    <w:pPr>
      <w:widowControl w:val="0"/>
      <w:numPr>
        <w:ilvl w:val="0"/>
        <w:numId w:val="6"/>
      </w:numPr>
      <w:jc w:val="both"/>
    </w:pPr>
    <w:rPr>
      <w:rFonts w:ascii="宋体" w:hAnsi="Times New Roman" w:eastAsia="宋体" w:cs="Times New Roman"/>
      <w:sz w:val="18"/>
      <w:szCs w:val="18"/>
      <w:lang w:val="en-US" w:eastAsia="zh-CN" w:bidi="ar-SA"/>
    </w:rPr>
  </w:style>
  <w:style w:type="paragraph" w:customStyle="1" w:styleId="78">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79">
    <w:name w:val="注："/>
    <w:next w:val="24"/>
    <w:qFormat/>
    <w:uiPriority w:val="0"/>
    <w:pPr>
      <w:widowControl w:val="0"/>
      <w:numPr>
        <w:ilvl w:val="0"/>
        <w:numId w:val="7"/>
      </w:numPr>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80">
    <w:name w:val="注×："/>
    <w:qFormat/>
    <w:uiPriority w:val="0"/>
    <w:pPr>
      <w:widowControl w:val="0"/>
      <w:numPr>
        <w:ilvl w:val="0"/>
        <w:numId w:val="8"/>
      </w:numPr>
      <w:autoSpaceDE w:val="0"/>
      <w:autoSpaceDN w:val="0"/>
      <w:ind w:left="811" w:hanging="448"/>
      <w:jc w:val="both"/>
    </w:pPr>
    <w:rPr>
      <w:rFonts w:ascii="宋体" w:hAnsi="Times New Roman" w:eastAsia="宋体" w:cs="Times New Roman"/>
      <w:sz w:val="18"/>
      <w:szCs w:val="18"/>
      <w:lang w:val="en-US" w:eastAsia="zh-CN" w:bidi="ar-SA"/>
    </w:rPr>
  </w:style>
  <w:style w:type="paragraph" w:customStyle="1" w:styleId="81">
    <w:name w:val="列项◆（三级）"/>
    <w:basedOn w:val="1"/>
    <w:qFormat/>
    <w:uiPriority w:val="0"/>
    <w:pPr>
      <w:numPr>
        <w:ilvl w:val="2"/>
        <w:numId w:val="5"/>
      </w:numPr>
    </w:pPr>
    <w:rPr>
      <w:rFonts w:ascii="宋体"/>
      <w:szCs w:val="21"/>
    </w:rPr>
  </w:style>
  <w:style w:type="paragraph" w:customStyle="1" w:styleId="82">
    <w:name w:val="示例×："/>
    <w:basedOn w:val="51"/>
    <w:qFormat/>
    <w:uiPriority w:val="0"/>
    <w:pPr>
      <w:numPr>
        <w:numId w:val="9"/>
      </w:numPr>
      <w:spacing w:beforeLines="0" w:afterLines="0"/>
      <w:outlineLvl w:val="9"/>
    </w:pPr>
    <w:rPr>
      <w:rFonts w:ascii="宋体" w:eastAsia="宋体"/>
      <w:sz w:val="18"/>
      <w:szCs w:val="18"/>
    </w:rPr>
  </w:style>
  <w:style w:type="paragraph" w:customStyle="1" w:styleId="83">
    <w:name w:val="注：（正文）"/>
    <w:basedOn w:val="79"/>
    <w:next w:val="24"/>
    <w:qFormat/>
    <w:uiPriority w:val="0"/>
    <w:pPr>
      <w:numPr>
        <w:numId w:val="10"/>
      </w:numPr>
      <w:ind w:left="726" w:hanging="363"/>
    </w:pPr>
  </w:style>
  <w:style w:type="paragraph" w:customStyle="1" w:styleId="84">
    <w:name w:val="注×：（正文）"/>
    <w:qFormat/>
    <w:uiPriority w:val="0"/>
    <w:pPr>
      <w:numPr>
        <w:ilvl w:val="0"/>
        <w:numId w:val="11"/>
      </w:numPr>
      <w:ind w:left="811" w:hanging="448"/>
      <w:jc w:val="both"/>
    </w:pPr>
    <w:rPr>
      <w:rFonts w:ascii="宋体" w:hAnsi="Times New Roman" w:eastAsia="宋体" w:cs="Times New Roman"/>
      <w:sz w:val="18"/>
      <w:szCs w:val="18"/>
      <w:lang w:val="en-US" w:eastAsia="zh-CN" w:bidi="ar-SA"/>
    </w:rPr>
  </w:style>
  <w:style w:type="paragraph" w:customStyle="1" w:styleId="85">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86">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87">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88">
    <w:name w:val="标准书眉_偶数页"/>
    <w:basedOn w:val="72"/>
    <w:next w:val="1"/>
    <w:autoRedefine/>
    <w:qFormat/>
    <w:uiPriority w:val="0"/>
    <w:pPr>
      <w:jc w:val="left"/>
    </w:pPr>
    <w:rPr>
      <w:rFonts w:hAnsi="黑体"/>
    </w:rPr>
  </w:style>
  <w:style w:type="paragraph" w:customStyle="1" w:styleId="89">
    <w:name w:val="标准书眉一"/>
    <w:autoRedefine/>
    <w:qFormat/>
    <w:uiPriority w:val="0"/>
    <w:pPr>
      <w:jc w:val="both"/>
    </w:pPr>
    <w:rPr>
      <w:rFonts w:ascii="Times New Roman" w:hAnsi="Times New Roman" w:eastAsia="宋体" w:cs="Times New Roman"/>
      <w:lang w:val="en-US" w:eastAsia="zh-CN" w:bidi="ar-SA"/>
    </w:rPr>
  </w:style>
  <w:style w:type="paragraph" w:customStyle="1" w:styleId="90">
    <w:name w:val="参考文献"/>
    <w:basedOn w:val="1"/>
    <w:next w:val="24"/>
    <w:qFormat/>
    <w:uiPriority w:val="0"/>
    <w:pPr>
      <w:keepNext/>
      <w:widowControl/>
      <w:numPr>
        <w:ilvl w:val="0"/>
        <w:numId w:val="12"/>
      </w:numPr>
      <w:shd w:val="clear" w:color="FFFFFF" w:fill="FFFFFF"/>
      <w:spacing w:line="240" w:lineRule="atLeast"/>
      <w:ind w:firstLine="200" w:firstLineChars="200"/>
      <w:jc w:val="left"/>
      <w:outlineLvl w:val="0"/>
    </w:pPr>
    <w:rPr>
      <w:rFonts w:ascii="黑体" w:hAnsi="黑体" w:eastAsia="黑体"/>
      <w:kern w:val="0"/>
      <w:szCs w:val="20"/>
    </w:rPr>
  </w:style>
  <w:style w:type="paragraph" w:customStyle="1" w:styleId="91">
    <w:name w:val="参考文献、索引标题"/>
    <w:basedOn w:val="1"/>
    <w:next w:val="24"/>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92">
    <w:name w:val="发布"/>
    <w:qFormat/>
    <w:uiPriority w:val="0"/>
    <w:rPr>
      <w:rFonts w:ascii="黑体" w:eastAsia="黑体"/>
      <w:spacing w:val="85"/>
      <w:w w:val="100"/>
      <w:position w:val="3"/>
      <w:sz w:val="28"/>
      <w:szCs w:val="28"/>
    </w:rPr>
  </w:style>
  <w:style w:type="paragraph" w:customStyle="1" w:styleId="93">
    <w:name w:val="发布部门"/>
    <w:next w:val="24"/>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94">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95">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96">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97">
    <w:name w:val="封面标准文稿编辑信息"/>
    <w:basedOn w:val="46"/>
    <w:qFormat/>
    <w:uiPriority w:val="0"/>
    <w:pPr>
      <w:framePr w:wrap="around"/>
      <w:spacing w:before="180" w:line="180" w:lineRule="exact"/>
    </w:pPr>
    <w:rPr>
      <w:sz w:val="21"/>
    </w:rPr>
  </w:style>
  <w:style w:type="paragraph" w:customStyle="1" w:styleId="98">
    <w:name w:val="封面正文"/>
    <w:qFormat/>
    <w:uiPriority w:val="0"/>
    <w:pPr>
      <w:jc w:val="both"/>
    </w:pPr>
    <w:rPr>
      <w:rFonts w:ascii="Times New Roman" w:hAnsi="Times New Roman" w:eastAsia="宋体" w:cs="Times New Roman"/>
      <w:lang w:val="en-US" w:eastAsia="zh-CN" w:bidi="ar-SA"/>
    </w:rPr>
  </w:style>
  <w:style w:type="paragraph" w:customStyle="1" w:styleId="99">
    <w:name w:val="附录标题"/>
    <w:basedOn w:val="24"/>
    <w:next w:val="24"/>
    <w:qFormat/>
    <w:uiPriority w:val="0"/>
    <w:pPr>
      <w:ind w:firstLine="0" w:firstLineChars="0"/>
      <w:jc w:val="center"/>
    </w:pPr>
    <w:rPr>
      <w:rFonts w:ascii="黑体" w:eastAsia="黑体"/>
    </w:rPr>
  </w:style>
  <w:style w:type="paragraph" w:customStyle="1" w:styleId="100">
    <w:name w:val="附录表标号"/>
    <w:basedOn w:val="1"/>
    <w:next w:val="24"/>
    <w:qFormat/>
    <w:uiPriority w:val="0"/>
    <w:pPr>
      <w:numPr>
        <w:ilvl w:val="0"/>
        <w:numId w:val="13"/>
      </w:numPr>
      <w:tabs>
        <w:tab w:val="clear" w:pos="0"/>
      </w:tabs>
      <w:spacing w:line="14" w:lineRule="exact"/>
      <w:ind w:left="811" w:hanging="448"/>
      <w:jc w:val="center"/>
      <w:outlineLvl w:val="0"/>
    </w:pPr>
    <w:rPr>
      <w:color w:val="FFFFFF"/>
    </w:rPr>
  </w:style>
  <w:style w:type="paragraph" w:customStyle="1" w:styleId="101">
    <w:name w:val="附录表标题"/>
    <w:basedOn w:val="1"/>
    <w:next w:val="24"/>
    <w:qFormat/>
    <w:uiPriority w:val="0"/>
    <w:pPr>
      <w:numPr>
        <w:ilvl w:val="1"/>
        <w:numId w:val="13"/>
      </w:numPr>
      <w:tabs>
        <w:tab w:val="left" w:pos="180"/>
      </w:tabs>
      <w:spacing w:beforeLines="50" w:afterLines="50"/>
      <w:ind w:left="0" w:firstLine="0"/>
      <w:jc w:val="center"/>
    </w:pPr>
    <w:rPr>
      <w:rFonts w:ascii="黑体" w:eastAsia="黑体"/>
      <w:szCs w:val="21"/>
    </w:rPr>
  </w:style>
  <w:style w:type="paragraph" w:customStyle="1" w:styleId="102">
    <w:name w:val="附录二级无"/>
    <w:basedOn w:val="66"/>
    <w:qFormat/>
    <w:uiPriority w:val="0"/>
    <w:pPr>
      <w:tabs>
        <w:tab w:val="clear" w:pos="360"/>
      </w:tabs>
      <w:spacing w:beforeLines="0" w:afterLines="0"/>
    </w:pPr>
    <w:rPr>
      <w:rFonts w:ascii="宋体" w:eastAsia="宋体"/>
      <w:szCs w:val="21"/>
    </w:rPr>
  </w:style>
  <w:style w:type="paragraph" w:customStyle="1" w:styleId="103">
    <w:name w:val="附录公式"/>
    <w:basedOn w:val="24"/>
    <w:next w:val="24"/>
    <w:link w:val="104"/>
    <w:qFormat/>
    <w:uiPriority w:val="0"/>
  </w:style>
  <w:style w:type="character" w:customStyle="1" w:styleId="104">
    <w:name w:val="附录公式 Char"/>
    <w:basedOn w:val="70"/>
    <w:link w:val="103"/>
    <w:qFormat/>
    <w:uiPriority w:val="0"/>
    <w:rPr>
      <w:rFonts w:ascii="宋体"/>
      <w:sz w:val="21"/>
      <w:lang w:val="en-US" w:eastAsia="zh-CN" w:bidi="ar-SA"/>
    </w:rPr>
  </w:style>
  <w:style w:type="paragraph" w:customStyle="1" w:styleId="105">
    <w:name w:val="附录公式编号制表符"/>
    <w:basedOn w:val="1"/>
    <w:next w:val="24"/>
    <w:qFormat/>
    <w:uiPriority w:val="0"/>
    <w:pPr>
      <w:widowControl/>
      <w:tabs>
        <w:tab w:val="center" w:pos="4201"/>
        <w:tab w:val="right" w:leader="dot" w:pos="9298"/>
      </w:tabs>
      <w:autoSpaceDE w:val="0"/>
      <w:autoSpaceDN w:val="0"/>
    </w:pPr>
    <w:rPr>
      <w:rFonts w:ascii="宋体"/>
      <w:kern w:val="0"/>
      <w:szCs w:val="20"/>
    </w:rPr>
  </w:style>
  <w:style w:type="paragraph" w:customStyle="1" w:styleId="106">
    <w:name w:val="附录三级无"/>
    <w:basedOn w:val="67"/>
    <w:qFormat/>
    <w:uiPriority w:val="0"/>
    <w:pPr>
      <w:tabs>
        <w:tab w:val="clear" w:pos="360"/>
      </w:tabs>
      <w:spacing w:beforeLines="0" w:afterLines="0"/>
    </w:pPr>
    <w:rPr>
      <w:rFonts w:ascii="宋体" w:eastAsia="宋体"/>
      <w:szCs w:val="21"/>
    </w:rPr>
  </w:style>
  <w:style w:type="paragraph" w:customStyle="1" w:styleId="107">
    <w:name w:val="附录数字编号列项（二级）"/>
    <w:qFormat/>
    <w:uiPriority w:val="0"/>
    <w:pPr>
      <w:numPr>
        <w:ilvl w:val="1"/>
        <w:numId w:val="14"/>
      </w:numPr>
    </w:pPr>
    <w:rPr>
      <w:rFonts w:ascii="宋体" w:hAnsi="Times New Roman" w:eastAsia="宋体" w:cs="Times New Roman"/>
      <w:sz w:val="21"/>
      <w:lang w:val="en-US" w:eastAsia="zh-CN" w:bidi="ar-SA"/>
    </w:rPr>
  </w:style>
  <w:style w:type="paragraph" w:customStyle="1" w:styleId="108">
    <w:name w:val="附录四级无"/>
    <w:basedOn w:val="68"/>
    <w:qFormat/>
    <w:uiPriority w:val="0"/>
    <w:pPr>
      <w:tabs>
        <w:tab w:val="clear" w:pos="360"/>
      </w:tabs>
      <w:spacing w:beforeLines="0" w:afterLines="0"/>
    </w:pPr>
    <w:rPr>
      <w:rFonts w:ascii="宋体" w:eastAsia="宋体"/>
      <w:szCs w:val="21"/>
    </w:rPr>
  </w:style>
  <w:style w:type="paragraph" w:customStyle="1" w:styleId="109">
    <w:name w:val="附录图标号"/>
    <w:basedOn w:val="1"/>
    <w:qFormat/>
    <w:uiPriority w:val="0"/>
    <w:pPr>
      <w:keepNext/>
      <w:pageBreakBefore/>
      <w:widowControl/>
      <w:numPr>
        <w:ilvl w:val="0"/>
        <w:numId w:val="15"/>
      </w:numPr>
      <w:spacing w:line="14" w:lineRule="exact"/>
      <w:ind w:left="0" w:firstLine="363"/>
      <w:jc w:val="center"/>
      <w:outlineLvl w:val="0"/>
    </w:pPr>
    <w:rPr>
      <w:color w:val="FFFFFF"/>
    </w:rPr>
  </w:style>
  <w:style w:type="paragraph" w:customStyle="1" w:styleId="110">
    <w:name w:val="附录图标题"/>
    <w:basedOn w:val="1"/>
    <w:next w:val="24"/>
    <w:qFormat/>
    <w:uiPriority w:val="0"/>
    <w:pPr>
      <w:numPr>
        <w:ilvl w:val="1"/>
        <w:numId w:val="15"/>
      </w:numPr>
      <w:tabs>
        <w:tab w:val="left" w:pos="363"/>
      </w:tabs>
      <w:spacing w:beforeLines="50" w:afterLines="50"/>
      <w:ind w:left="0" w:firstLine="0"/>
      <w:jc w:val="center"/>
    </w:pPr>
    <w:rPr>
      <w:rFonts w:ascii="黑体" w:eastAsia="黑体"/>
      <w:szCs w:val="21"/>
    </w:rPr>
  </w:style>
  <w:style w:type="paragraph" w:customStyle="1" w:styleId="111">
    <w:name w:val="附录五级无"/>
    <w:basedOn w:val="69"/>
    <w:qFormat/>
    <w:uiPriority w:val="0"/>
    <w:pPr>
      <w:tabs>
        <w:tab w:val="clear" w:pos="360"/>
      </w:tabs>
      <w:spacing w:beforeLines="0" w:afterLines="0"/>
    </w:pPr>
    <w:rPr>
      <w:rFonts w:ascii="宋体" w:eastAsia="宋体"/>
      <w:szCs w:val="21"/>
    </w:rPr>
  </w:style>
  <w:style w:type="paragraph" w:customStyle="1" w:styleId="112">
    <w:name w:val="附录一级无"/>
    <w:basedOn w:val="65"/>
    <w:qFormat/>
    <w:uiPriority w:val="0"/>
    <w:pPr>
      <w:tabs>
        <w:tab w:val="clear" w:pos="360"/>
      </w:tabs>
      <w:spacing w:beforeLines="0" w:afterLines="0"/>
    </w:pPr>
    <w:rPr>
      <w:rFonts w:ascii="宋体" w:eastAsia="宋体"/>
      <w:szCs w:val="21"/>
    </w:rPr>
  </w:style>
  <w:style w:type="paragraph" w:customStyle="1" w:styleId="113">
    <w:name w:val="附录字母编号列项（一级）"/>
    <w:qFormat/>
    <w:uiPriority w:val="0"/>
    <w:pPr>
      <w:tabs>
        <w:tab w:val="left" w:pos="839"/>
      </w:tabs>
    </w:pPr>
    <w:rPr>
      <w:rFonts w:ascii="宋体" w:hAnsi="Times New Roman" w:eastAsia="宋体" w:cs="Times New Roman"/>
      <w:sz w:val="21"/>
      <w:lang w:val="en-US" w:eastAsia="zh-CN" w:bidi="ar-SA"/>
    </w:rPr>
  </w:style>
  <w:style w:type="paragraph" w:customStyle="1" w:styleId="114">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15">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16">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17">
    <w:name w:val="其他标准标志"/>
    <w:basedOn w:val="85"/>
    <w:qFormat/>
    <w:uiPriority w:val="0"/>
    <w:pPr>
      <w:framePr w:w="6101" w:wrap="around" w:vAnchor="page" w:hAnchor="page" w:x="4673" w:y="942"/>
    </w:pPr>
    <w:rPr>
      <w:w w:val="130"/>
    </w:rPr>
  </w:style>
  <w:style w:type="paragraph" w:customStyle="1" w:styleId="118">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19">
    <w:name w:val="其他发布部门"/>
    <w:basedOn w:val="93"/>
    <w:qFormat/>
    <w:uiPriority w:val="0"/>
    <w:pPr>
      <w:framePr w:wrap="around" w:y="15310"/>
      <w:spacing w:line="0" w:lineRule="atLeast"/>
    </w:pPr>
    <w:rPr>
      <w:rFonts w:ascii="黑体" w:eastAsia="黑体"/>
      <w:b w:val="0"/>
    </w:rPr>
  </w:style>
  <w:style w:type="paragraph" w:customStyle="1" w:styleId="120">
    <w:name w:val="实施日期"/>
    <w:qFormat/>
    <w:uiPriority w:val="0"/>
    <w:pPr>
      <w:framePr w:w="3997" w:h="471" w:hRule="exact" w:vSpace="181" w:wrap="around" w:vAnchor="page" w:hAnchor="page" w:x="7089" w:y="14097"/>
      <w:jc w:val="right"/>
    </w:pPr>
    <w:rPr>
      <w:rFonts w:ascii="Times New Roman" w:hAnsi="Times New Roman" w:eastAsia="黑体" w:cs="Times New Roman"/>
      <w:sz w:val="28"/>
      <w:lang w:val="en-US" w:eastAsia="zh-CN" w:bidi="ar-SA"/>
    </w:rPr>
  </w:style>
  <w:style w:type="paragraph" w:customStyle="1" w:styleId="121">
    <w:name w:val="示例后文字"/>
    <w:basedOn w:val="24"/>
    <w:next w:val="24"/>
    <w:qFormat/>
    <w:uiPriority w:val="0"/>
    <w:pPr>
      <w:ind w:firstLine="360"/>
    </w:pPr>
    <w:rPr>
      <w:sz w:val="18"/>
    </w:rPr>
  </w:style>
  <w:style w:type="paragraph" w:customStyle="1" w:styleId="122">
    <w:name w:val="首示例"/>
    <w:next w:val="24"/>
    <w:link w:val="123"/>
    <w:qFormat/>
    <w:uiPriority w:val="0"/>
    <w:pPr>
      <w:tabs>
        <w:tab w:val="left" w:pos="360"/>
      </w:tabs>
    </w:pPr>
    <w:rPr>
      <w:rFonts w:ascii="宋体" w:hAnsi="宋体" w:eastAsia="宋体" w:cs="Times New Roman"/>
      <w:kern w:val="2"/>
      <w:sz w:val="18"/>
      <w:szCs w:val="18"/>
      <w:lang w:val="en-US" w:eastAsia="zh-CN" w:bidi="ar-SA"/>
    </w:rPr>
  </w:style>
  <w:style w:type="character" w:customStyle="1" w:styleId="123">
    <w:name w:val="首示例 Char"/>
    <w:link w:val="122"/>
    <w:qFormat/>
    <w:uiPriority w:val="0"/>
    <w:rPr>
      <w:rFonts w:ascii="宋体" w:hAnsi="宋体"/>
      <w:kern w:val="2"/>
      <w:sz w:val="18"/>
      <w:szCs w:val="18"/>
    </w:rPr>
  </w:style>
  <w:style w:type="paragraph" w:customStyle="1" w:styleId="124">
    <w:name w:val="四级无"/>
    <w:basedOn w:val="54"/>
    <w:qFormat/>
    <w:uiPriority w:val="0"/>
    <w:pPr>
      <w:spacing w:beforeLines="0" w:afterLines="0"/>
    </w:pPr>
    <w:rPr>
      <w:rFonts w:ascii="宋体" w:eastAsia="宋体"/>
    </w:rPr>
  </w:style>
  <w:style w:type="paragraph" w:customStyle="1" w:styleId="125">
    <w:name w:val="条文脚注"/>
    <w:basedOn w:val="25"/>
    <w:qFormat/>
    <w:uiPriority w:val="0"/>
    <w:pPr>
      <w:numPr>
        <w:numId w:val="0"/>
      </w:numPr>
      <w:jc w:val="both"/>
    </w:pPr>
  </w:style>
  <w:style w:type="paragraph" w:customStyle="1" w:styleId="126">
    <w:name w:val="图标脚注说明"/>
    <w:basedOn w:val="24"/>
    <w:qFormat/>
    <w:uiPriority w:val="0"/>
    <w:pPr>
      <w:ind w:left="840" w:hanging="420" w:firstLineChars="0"/>
    </w:pPr>
    <w:rPr>
      <w:sz w:val="18"/>
      <w:szCs w:val="18"/>
    </w:rPr>
  </w:style>
  <w:style w:type="paragraph" w:customStyle="1" w:styleId="127">
    <w:name w:val="图表脚注说明"/>
    <w:basedOn w:val="1"/>
    <w:qFormat/>
    <w:uiPriority w:val="0"/>
    <w:pPr>
      <w:numPr>
        <w:ilvl w:val="0"/>
        <w:numId w:val="16"/>
      </w:numPr>
    </w:pPr>
    <w:rPr>
      <w:rFonts w:ascii="宋体"/>
      <w:sz w:val="18"/>
      <w:szCs w:val="18"/>
    </w:rPr>
  </w:style>
  <w:style w:type="paragraph" w:customStyle="1" w:styleId="128">
    <w:name w:val="图的脚注"/>
    <w:next w:val="24"/>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29">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30">
    <w:name w:val="五级无"/>
    <w:basedOn w:val="55"/>
    <w:qFormat/>
    <w:uiPriority w:val="0"/>
    <w:pPr>
      <w:spacing w:beforeLines="0" w:afterLines="0"/>
    </w:pPr>
    <w:rPr>
      <w:rFonts w:ascii="宋体" w:eastAsia="宋体"/>
    </w:rPr>
  </w:style>
  <w:style w:type="paragraph" w:customStyle="1" w:styleId="131">
    <w:name w:val="正文表标题"/>
    <w:next w:val="24"/>
    <w:qFormat/>
    <w:uiPriority w:val="0"/>
    <w:pPr>
      <w:numPr>
        <w:ilvl w:val="0"/>
        <w:numId w:val="17"/>
      </w:numPr>
      <w:spacing w:beforeLines="50" w:afterLines="50"/>
      <w:jc w:val="center"/>
    </w:pPr>
    <w:rPr>
      <w:rFonts w:ascii="黑体" w:hAnsi="Times New Roman" w:eastAsia="黑体" w:cs="Times New Roman"/>
      <w:sz w:val="21"/>
      <w:lang w:val="en-US" w:eastAsia="zh-CN" w:bidi="ar-SA"/>
    </w:rPr>
  </w:style>
  <w:style w:type="paragraph" w:customStyle="1" w:styleId="132">
    <w:name w:val="正文公式编号制表符"/>
    <w:basedOn w:val="24"/>
    <w:next w:val="24"/>
    <w:qFormat/>
    <w:uiPriority w:val="0"/>
    <w:pPr>
      <w:ind w:firstLine="0" w:firstLineChars="0"/>
    </w:pPr>
  </w:style>
  <w:style w:type="paragraph" w:customStyle="1" w:styleId="133">
    <w:name w:val="正文图标题"/>
    <w:next w:val="24"/>
    <w:qFormat/>
    <w:uiPriority w:val="0"/>
    <w:pPr>
      <w:numPr>
        <w:ilvl w:val="0"/>
        <w:numId w:val="18"/>
      </w:numPr>
      <w:spacing w:beforeLines="50" w:afterLines="50"/>
      <w:jc w:val="center"/>
    </w:pPr>
    <w:rPr>
      <w:rFonts w:ascii="黑体" w:hAnsi="Times New Roman" w:eastAsia="黑体" w:cs="Times New Roman"/>
      <w:sz w:val="21"/>
      <w:lang w:val="en-US" w:eastAsia="zh-CN" w:bidi="ar-SA"/>
    </w:rPr>
  </w:style>
  <w:style w:type="paragraph" w:customStyle="1" w:styleId="134">
    <w:name w:val="终结线"/>
    <w:basedOn w:val="1"/>
    <w:qFormat/>
    <w:uiPriority w:val="0"/>
    <w:pPr>
      <w:framePr w:hSpace="181" w:vSpace="181" w:wrap="around" w:vAnchor="text" w:hAnchor="margin" w:xAlign="center" w:y="285"/>
    </w:pPr>
  </w:style>
  <w:style w:type="paragraph" w:customStyle="1" w:styleId="135">
    <w:name w:val="其他发布日期"/>
    <w:qFormat/>
    <w:uiPriority w:val="0"/>
    <w:pPr>
      <w:framePr w:w="3997" w:h="471" w:hRule="exact" w:vSpace="181" w:wrap="around" w:vAnchor="page" w:hAnchor="page" w:x="1419" w:y="14097" w:anchorLock="1"/>
    </w:pPr>
    <w:rPr>
      <w:rFonts w:ascii="Times New Roman" w:hAnsi="Times New Roman" w:eastAsia="黑体" w:cs="Times New Roman"/>
      <w:sz w:val="28"/>
      <w:lang w:val="en-US" w:eastAsia="zh-CN" w:bidi="ar-SA"/>
    </w:rPr>
  </w:style>
  <w:style w:type="paragraph" w:customStyle="1" w:styleId="136">
    <w:name w:val="其他实施日期"/>
    <w:basedOn w:val="120"/>
    <w:qFormat/>
    <w:uiPriority w:val="0"/>
    <w:pPr>
      <w:framePr w:wrap="around"/>
    </w:pPr>
  </w:style>
  <w:style w:type="paragraph" w:customStyle="1" w:styleId="137">
    <w:name w:val="封面标准名称2"/>
    <w:basedOn w:val="49"/>
    <w:qFormat/>
    <w:uiPriority w:val="0"/>
    <w:pPr>
      <w:framePr w:wrap="around" w:y="4469"/>
      <w:spacing w:beforeLines="630"/>
    </w:pPr>
  </w:style>
  <w:style w:type="paragraph" w:customStyle="1" w:styleId="138">
    <w:name w:val="封面标准英文名称2"/>
    <w:basedOn w:val="48"/>
    <w:qFormat/>
    <w:uiPriority w:val="0"/>
    <w:pPr>
      <w:framePr w:wrap="around" w:y="4469"/>
    </w:pPr>
  </w:style>
  <w:style w:type="paragraph" w:customStyle="1" w:styleId="139">
    <w:name w:val="封面一致性程度标识2"/>
    <w:basedOn w:val="47"/>
    <w:qFormat/>
    <w:uiPriority w:val="0"/>
    <w:pPr>
      <w:framePr w:wrap="around" w:y="4469"/>
    </w:pPr>
  </w:style>
  <w:style w:type="paragraph" w:customStyle="1" w:styleId="140">
    <w:name w:val="封面标准文稿类别2"/>
    <w:basedOn w:val="46"/>
    <w:qFormat/>
    <w:uiPriority w:val="0"/>
    <w:pPr>
      <w:framePr w:wrap="around" w:y="4469"/>
    </w:pPr>
  </w:style>
  <w:style w:type="paragraph" w:customStyle="1" w:styleId="141">
    <w:name w:val="封面标准文稿编辑信息2"/>
    <w:basedOn w:val="97"/>
    <w:qFormat/>
    <w:uiPriority w:val="0"/>
    <w:pPr>
      <w:framePr w:wrap="around" w:y="4469"/>
    </w:pPr>
  </w:style>
  <w:style w:type="paragraph" w:customStyle="1" w:styleId="142">
    <w:name w:val="标准名称"/>
    <w:basedOn w:val="76"/>
    <w:link w:val="145"/>
    <w:qFormat/>
    <w:uiPriority w:val="0"/>
  </w:style>
  <w:style w:type="character" w:customStyle="1" w:styleId="143">
    <w:name w:val="占位符文本1"/>
    <w:basedOn w:val="37"/>
    <w:semiHidden/>
    <w:qFormat/>
    <w:uiPriority w:val="99"/>
    <w:rPr>
      <w:color w:val="808080"/>
    </w:rPr>
  </w:style>
  <w:style w:type="character" w:customStyle="1" w:styleId="144">
    <w:name w:val="目次、标准名称标题 Char"/>
    <w:basedOn w:val="37"/>
    <w:link w:val="76"/>
    <w:qFormat/>
    <w:uiPriority w:val="0"/>
    <w:rPr>
      <w:rFonts w:ascii="黑体" w:eastAsia="黑体"/>
      <w:sz w:val="32"/>
      <w:shd w:val="clear" w:color="FFFFFF" w:fill="FFFFFF"/>
    </w:rPr>
  </w:style>
  <w:style w:type="character" w:customStyle="1" w:styleId="145">
    <w:name w:val="标准名称 Char"/>
    <w:basedOn w:val="144"/>
    <w:link w:val="142"/>
    <w:qFormat/>
    <w:uiPriority w:val="0"/>
    <w:rPr>
      <w:rFonts w:ascii="黑体" w:eastAsia="黑体"/>
      <w:sz w:val="32"/>
      <w:shd w:val="clear" w:color="FFFFFF" w:fill="FFFFFF"/>
    </w:rPr>
  </w:style>
  <w:style w:type="character" w:customStyle="1" w:styleId="146">
    <w:name w:val="批注框文本 字符"/>
    <w:basedOn w:val="37"/>
    <w:link w:val="17"/>
    <w:qFormat/>
    <w:uiPriority w:val="0"/>
    <w:rPr>
      <w:kern w:val="2"/>
      <w:sz w:val="18"/>
      <w:szCs w:val="18"/>
    </w:rPr>
  </w:style>
  <w:style w:type="paragraph" w:customStyle="1" w:styleId="147">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148">
    <w:name w:val="标题 2 字符"/>
    <w:basedOn w:val="37"/>
    <w:link w:val="3"/>
    <w:qFormat/>
    <w:uiPriority w:val="0"/>
    <w:rPr>
      <w:rFonts w:asciiTheme="majorHAnsi" w:hAnsiTheme="majorHAnsi" w:eastAsiaTheme="majorEastAsia" w:cstheme="majorBidi"/>
      <w:b/>
      <w:bCs/>
      <w:kern w:val="2"/>
      <w:sz w:val="32"/>
      <w:szCs w:val="32"/>
    </w:rPr>
  </w:style>
  <w:style w:type="paragraph" w:styleId="149">
    <w:name w:val="List Paragraph"/>
    <w:basedOn w:val="1"/>
    <w:qFormat/>
    <w:uiPriority w:val="99"/>
    <w:pPr>
      <w:ind w:firstLine="420" w:firstLineChars="200"/>
    </w:pPr>
  </w:style>
  <w:style w:type="character" w:customStyle="1" w:styleId="150">
    <w:name w:val="批注文字 字符"/>
    <w:basedOn w:val="37"/>
    <w:link w:val="9"/>
    <w:semiHidden/>
    <w:qFormat/>
    <w:uiPriority w:val="0"/>
    <w:rPr>
      <w:kern w:val="2"/>
      <w:sz w:val="21"/>
      <w:szCs w:val="24"/>
    </w:rPr>
  </w:style>
  <w:style w:type="character" w:customStyle="1" w:styleId="151">
    <w:name w:val="批注主题 字符"/>
    <w:basedOn w:val="150"/>
    <w:link w:val="34"/>
    <w:semiHidden/>
    <w:qFormat/>
    <w:uiPriority w:val="0"/>
    <w:rPr>
      <w:b/>
      <w:bCs/>
      <w:kern w:val="2"/>
      <w:sz w:val="21"/>
      <w:szCs w:val="24"/>
    </w:rPr>
  </w:style>
  <w:style w:type="character" w:customStyle="1" w:styleId="152">
    <w:name w:val="页眉 字符"/>
    <w:basedOn w:val="37"/>
    <w:link w:val="19"/>
    <w:qFormat/>
    <w:uiPriority w:val="0"/>
    <w:rPr>
      <w:kern w:val="2"/>
      <w:sz w:val="18"/>
      <w:szCs w:val="18"/>
    </w:rPr>
  </w:style>
  <w:style w:type="character" w:customStyle="1" w:styleId="153">
    <w:name w:val="未处理的提及1"/>
    <w:basedOn w:val="37"/>
    <w:semiHidden/>
    <w:unhideWhenUsed/>
    <w:qFormat/>
    <w:uiPriority w:val="99"/>
    <w:rPr>
      <w:color w:val="605E5C"/>
      <w:shd w:val="clear" w:color="auto" w:fill="E1DFDD"/>
    </w:rPr>
  </w:style>
  <w:style w:type="paragraph" w:customStyle="1" w:styleId="15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microsoft.com/office/2006/relationships/keyMapCustomizations" Target="customizations.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5D26DE-8CA9-4819-8A07-DED7621525B0}">
  <ds:schemaRefs/>
</ds:datastoreItem>
</file>

<file path=docProps/app.xml><?xml version="1.0" encoding="utf-8"?>
<Properties xmlns="http://schemas.openxmlformats.org/officeDocument/2006/extended-properties" xmlns:vt="http://schemas.openxmlformats.org/officeDocument/2006/docPropsVTypes">
  <Template>Normal</Template>
  <Company>zle</Company>
  <Pages>31</Pages>
  <Words>15579</Words>
  <Characters>17460</Characters>
  <Lines>22</Lines>
  <Paragraphs>6</Paragraphs>
  <TotalTime>12</TotalTime>
  <ScaleCrop>false</ScaleCrop>
  <LinksUpToDate>false</LinksUpToDate>
  <CharactersWithSpaces>17919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2020-12-25T02:31:00Z</dcterms:created>
  <dc:creator>CNIS</dc:creator>
  <cp:lastModifiedBy>娟子</cp:lastModifiedBy>
  <cp:lastPrinted>2020-12-25T09:36:00Z</cp:lastPrinted>
  <dcterms:modified xsi:type="dcterms:W3CDTF">2026-10-15T03:41:25Z</dcterms:modified>
  <dc:title>标准名称</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3FFE3CDA6EF242DE994F75C41D502984_13</vt:lpwstr>
  </property>
  <property fmtid="{D5CDD505-2E9C-101B-9397-08002B2CF9AE}" pid="4" name="KSOTemplateDocerSaveRecord">
    <vt:lpwstr>eyJoZGlkIjoiMjZkMjIyNGU3N2U2YTYwZjRlM2JkM2NkZTVlZmZlMjkiLCJ1c2VySWQiOiIzNzA5NTM0ODkifQ==</vt:lpwstr>
  </property>
</Properties>
</file>