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3D102C">
      <w:pPr>
        <w:jc w:val="center"/>
        <w:rPr>
          <w:color w:val="auto"/>
        </w:rPr>
      </w:pPr>
      <w:r>
        <w:rPr>
          <w:rFonts w:ascii="华文中宋" w:hAnsi="华文中宋" w:eastAsia="华文中宋"/>
          <w:b w:val="0"/>
          <w:i w:val="0"/>
          <w:color w:val="auto"/>
          <w:sz w:val="44"/>
        </w:rPr>
        <w:t>《针对认知障碍人群的电子玩具分级适配指南》团体标准编制说明</w:t>
      </w:r>
    </w:p>
    <w:p w14:paraId="3610F6D0">
      <w:pPr>
        <w:rPr>
          <w:color w:val="auto"/>
        </w:rPr>
      </w:pPr>
    </w:p>
    <w:p w14:paraId="65BF7F0E">
      <w:pPr>
        <w:ind w:firstLine="640"/>
        <w:rPr>
          <w:color w:val="auto"/>
        </w:rPr>
      </w:pPr>
      <w:r>
        <w:rPr>
          <w:rFonts w:hint="eastAsia" w:ascii="黑体" w:hAnsi="黑体" w:eastAsia="黑体"/>
          <w:b w:val="0"/>
          <w:i w:val="0"/>
          <w:color w:val="auto"/>
          <w:sz w:val="32"/>
          <w:lang w:val="en-US" w:eastAsia="zh-CN"/>
        </w:rPr>
        <w:t>一、</w:t>
      </w:r>
      <w:r>
        <w:rPr>
          <w:rFonts w:ascii="黑体" w:hAnsi="黑体" w:eastAsia="黑体"/>
          <w:b w:val="0"/>
          <w:i w:val="0"/>
          <w:color w:val="auto"/>
          <w:sz w:val="32"/>
        </w:rPr>
        <w:t>任务来源，起草单位，协作单位，主要起草人。</w:t>
      </w:r>
    </w:p>
    <w:p w14:paraId="56860958">
      <w:pPr>
        <w:ind w:firstLine="640"/>
        <w:rPr>
          <w:color w:val="auto"/>
        </w:rPr>
      </w:pPr>
      <w:r>
        <w:rPr>
          <w:rFonts w:ascii="仿宋_GB2312" w:hAnsi="仿宋_GB2312" w:eastAsia="仿宋_GB2312"/>
          <w:b w:val="0"/>
          <w:i w:val="0"/>
          <w:color w:val="auto"/>
          <w:sz w:val="32"/>
        </w:rPr>
        <w:t xml:space="preserve">本标准由北京标准化协会提出并归口，标准项目编号：T/BAS </w:t>
      </w:r>
      <w:r>
        <w:rPr>
          <w:rFonts w:hint="eastAsia" w:ascii="仿宋_GB2312" w:hAnsi="仿宋_GB2312" w:eastAsia="仿宋_GB2312"/>
          <w:b w:val="0"/>
          <w:i w:val="0"/>
          <w:color w:val="auto"/>
          <w:sz w:val="32"/>
          <w:lang w:val="en-US" w:eastAsia="zh-CN"/>
        </w:rPr>
        <w:t>2026</w:t>
      </w:r>
      <w:r>
        <w:rPr>
          <w:rFonts w:hint="eastAsia" w:ascii="仿宋_GB2312" w:hAnsi="仿宋_GB2312" w:eastAsia="仿宋_GB2312"/>
          <w:b w:val="0"/>
          <w:i w:val="0"/>
          <w:color w:val="auto"/>
          <w:sz w:val="32"/>
          <w:lang w:eastAsia="zh-CN"/>
        </w:rPr>
        <w:t>-</w:t>
      </w:r>
      <w:r>
        <w:rPr>
          <w:rFonts w:hint="eastAsia" w:ascii="仿宋_GB2312" w:hAnsi="仿宋_GB2312" w:eastAsia="仿宋_GB2312"/>
          <w:b w:val="0"/>
          <w:i w:val="0"/>
          <w:color w:val="auto"/>
          <w:sz w:val="32"/>
          <w:lang w:val="en-US" w:eastAsia="zh-CN"/>
        </w:rPr>
        <w:t>06</w:t>
      </w:r>
      <w:r>
        <w:rPr>
          <w:rFonts w:ascii="仿宋_GB2312" w:hAnsi="仿宋_GB2312" w:eastAsia="仿宋_GB2312"/>
          <w:b w:val="0"/>
          <w:i w:val="0"/>
          <w:color w:val="auto"/>
          <w:sz w:val="32"/>
        </w:rPr>
        <w:t>。</w:t>
      </w:r>
    </w:p>
    <w:p w14:paraId="17B8C6DD">
      <w:pPr>
        <w:ind w:firstLine="640"/>
        <w:rPr>
          <w:color w:val="auto"/>
        </w:rPr>
      </w:pPr>
      <w:r>
        <w:rPr>
          <w:rFonts w:ascii="仿宋_GB2312" w:hAnsi="仿宋_GB2312" w:eastAsia="仿宋_GB2312"/>
          <w:b w:val="0"/>
          <w:i w:val="0"/>
          <w:color w:val="auto"/>
          <w:sz w:val="32"/>
        </w:rPr>
        <w:t>起草单位：</w:t>
      </w:r>
      <w:r>
        <w:rPr>
          <w:rFonts w:hint="eastAsia" w:ascii="仿宋_GB2312" w:hAnsi="仿宋_GB2312" w:eastAsia="仿宋_GB2312"/>
          <w:b w:val="0"/>
          <w:i w:val="0"/>
          <w:color w:val="auto"/>
          <w:sz w:val="32"/>
        </w:rPr>
        <w:t>北京劳动保障职业学院、南方科技大学医院、广东永爱医养产业有限公司、深圳市鹤灵医疗设备技术开发有限责任公司、深圳大学总医院、北京标准化协会</w:t>
      </w:r>
      <w:r>
        <w:rPr>
          <w:rFonts w:ascii="仿宋_GB2312" w:hAnsi="仿宋_GB2312" w:eastAsia="仿宋_GB2312"/>
          <w:b w:val="0"/>
          <w:i w:val="0"/>
          <w:color w:val="auto"/>
          <w:sz w:val="32"/>
        </w:rPr>
        <w:t>。</w:t>
      </w:r>
    </w:p>
    <w:p w14:paraId="23337D7A">
      <w:pPr>
        <w:ind w:firstLine="640"/>
        <w:rPr>
          <w:color w:val="auto"/>
        </w:rPr>
      </w:pPr>
      <w:r>
        <w:rPr>
          <w:rFonts w:ascii="仿宋_GB2312" w:hAnsi="仿宋_GB2312" w:eastAsia="仿宋_GB2312"/>
          <w:b w:val="0"/>
          <w:i w:val="0"/>
          <w:color w:val="auto"/>
          <w:sz w:val="32"/>
        </w:rPr>
        <w:t>主要起草人：</w:t>
      </w:r>
      <w:r>
        <w:rPr>
          <w:rFonts w:hint="eastAsia" w:ascii="仿宋_GB2312" w:hAnsi="仿宋_GB2312" w:eastAsia="仿宋_GB2312"/>
          <w:b w:val="0"/>
          <w:i w:val="0"/>
          <w:color w:val="auto"/>
          <w:sz w:val="32"/>
        </w:rPr>
        <w:t>杭家伊、孟繁华、张立缘、宋鲁平、滕文辉、于鹤立、王丽、郑巧英、肖艳娟</w:t>
      </w:r>
      <w:r>
        <w:rPr>
          <w:rFonts w:ascii="仿宋_GB2312" w:hAnsi="仿宋_GB2312" w:eastAsia="仿宋_GB2312"/>
          <w:b w:val="0"/>
          <w:i w:val="0"/>
          <w:color w:val="auto"/>
          <w:sz w:val="32"/>
        </w:rPr>
        <w:t>。</w:t>
      </w:r>
    </w:p>
    <w:p w14:paraId="482F5060">
      <w:pPr>
        <w:ind w:firstLine="640"/>
        <w:rPr>
          <w:color w:val="auto"/>
        </w:rPr>
      </w:pPr>
      <w:r>
        <w:rPr>
          <w:rFonts w:hint="eastAsia" w:ascii="黑体" w:hAnsi="黑体" w:eastAsia="黑体"/>
          <w:b w:val="0"/>
          <w:i w:val="0"/>
          <w:color w:val="auto"/>
          <w:sz w:val="32"/>
          <w:lang w:val="en-US" w:eastAsia="zh-CN"/>
        </w:rPr>
        <w:t>二、</w:t>
      </w:r>
      <w:r>
        <w:rPr>
          <w:rFonts w:ascii="黑体" w:hAnsi="黑体" w:eastAsia="黑体"/>
          <w:b w:val="0"/>
          <w:i w:val="0"/>
          <w:color w:val="auto"/>
          <w:sz w:val="32"/>
        </w:rPr>
        <w:t xml:space="preserve"> 制定标准的必要性和意义。</w:t>
      </w:r>
    </w:p>
    <w:p w14:paraId="767FF76D">
      <w:pPr>
        <w:ind w:firstLine="640"/>
        <w:rPr>
          <w:color w:val="auto"/>
        </w:rPr>
      </w:pPr>
      <w:r>
        <w:rPr>
          <w:rFonts w:ascii="仿宋_GB2312" w:hAnsi="仿宋_GB2312" w:eastAsia="仿宋_GB2312"/>
          <w:b/>
          <w:i w:val="0"/>
          <w:color w:val="auto"/>
          <w:sz w:val="32"/>
        </w:rPr>
        <w:t>（1）政策依据</w:t>
      </w:r>
    </w:p>
    <w:p w14:paraId="37C134D2">
      <w:pPr>
        <w:ind w:firstLine="640"/>
        <w:rPr>
          <w:color w:val="auto"/>
        </w:rPr>
      </w:pPr>
      <w:r>
        <w:rPr>
          <w:rFonts w:ascii="仿宋_GB2312" w:hAnsi="仿宋_GB2312" w:eastAsia="仿宋_GB2312"/>
          <w:b w:val="0"/>
          <w:i w:val="0"/>
          <w:color w:val="auto"/>
          <w:sz w:val="32"/>
        </w:rPr>
        <w:t>本标准的制定依据《"十四五"国家老龄事业发展和养老服务体系规划》《关于发展银发经济增进老年人福祉的意见》等国家政策文件，以及《康复辅助器具产业扩能提质三年行动方案（2026－2028年）》中关于"健全标准体系，优化康复辅具标准体系结构"的要求。2024年共发布适老化相关国家标准34项，下达16项老龄化社会等国家标准制定计划，其中明确包含《老年认知障碍社区照护规范》等养老服务标准。2026年版《中国康复辅助器具目录》新增"06 26 认知治疗辅助器具"次类，进一步明确了认知障碍辅助器具的分类地位。</w:t>
      </w:r>
    </w:p>
    <w:p w14:paraId="78E311E3">
      <w:pPr>
        <w:ind w:firstLine="640"/>
        <w:rPr>
          <w:color w:val="auto"/>
        </w:rPr>
      </w:pPr>
      <w:r>
        <w:rPr>
          <w:rFonts w:ascii="仿宋_GB2312" w:hAnsi="仿宋_GB2312" w:eastAsia="仿宋_GB2312"/>
          <w:b/>
          <w:i w:val="0"/>
          <w:color w:val="auto"/>
          <w:sz w:val="32"/>
        </w:rPr>
        <w:t>（2）应用背景与数据支撑</w:t>
      </w:r>
    </w:p>
    <w:p w14:paraId="14A137D3">
      <w:pPr>
        <w:ind w:firstLine="640"/>
        <w:rPr>
          <w:color w:val="auto"/>
        </w:rPr>
      </w:pPr>
      <w:r>
        <w:rPr>
          <w:rFonts w:ascii="仿宋_GB2312" w:hAnsi="仿宋_GB2312" w:eastAsia="仿宋_GB2312"/>
          <w:b w:val="0"/>
          <w:i w:val="0"/>
          <w:color w:val="auto"/>
          <w:sz w:val="32"/>
        </w:rPr>
        <w:t>我国老龄化程度持续加深，认知障碍人群规模庞大。以阿尔茨海默病为例，首次确诊人群中60</w:t>
      </w:r>
      <w:r>
        <w:rPr>
          <w:rFonts w:hint="eastAsia" w:ascii="仿宋_GB2312" w:hAnsi="仿宋_GB2312" w:eastAsia="仿宋_GB2312"/>
          <w:b w:val="0"/>
          <w:i w:val="0"/>
          <w:color w:val="auto"/>
          <w:sz w:val="32"/>
          <w:lang w:eastAsia="zh-CN"/>
        </w:rPr>
        <w:t>～</w:t>
      </w:r>
      <w:r>
        <w:rPr>
          <w:rFonts w:ascii="仿宋_GB2312" w:hAnsi="仿宋_GB2312" w:eastAsia="仿宋_GB2312"/>
          <w:b w:val="0"/>
          <w:i w:val="0"/>
          <w:color w:val="auto"/>
          <w:sz w:val="32"/>
        </w:rPr>
        <w:t>79岁占比62.1%，60岁以下早发型患者占21.3%，发病呈年轻化趋势。认知障碍康复设备市场持续增长，但当前产品缺乏统一的分级适配标准，导致产品选择困难、使用效果参差不齐。电子玩具作为认知障碍人群进行认知训练、感官刺激、情绪调节的重要工具，亟需建立科学的分级适配体系。</w:t>
      </w:r>
    </w:p>
    <w:p w14:paraId="248F7FDF">
      <w:pPr>
        <w:ind w:firstLine="640"/>
        <w:rPr>
          <w:color w:val="auto"/>
        </w:rPr>
      </w:pPr>
      <w:r>
        <w:rPr>
          <w:rFonts w:ascii="仿宋_GB2312" w:hAnsi="仿宋_GB2312" w:eastAsia="仿宋_GB2312"/>
          <w:b/>
          <w:i w:val="0"/>
          <w:color w:val="auto"/>
          <w:sz w:val="32"/>
        </w:rPr>
        <w:t>（3）目前存在的问题</w:t>
      </w:r>
    </w:p>
    <w:p w14:paraId="5DF004B3">
      <w:pPr>
        <w:ind w:firstLine="640"/>
        <w:rPr>
          <w:color w:val="auto"/>
        </w:rPr>
      </w:pPr>
      <w:r>
        <w:rPr>
          <w:rFonts w:hint="eastAsia" w:ascii="仿宋_GB2312" w:hAnsi="仿宋_GB2312" w:eastAsia="仿宋_GB2312"/>
          <w:b w:val="0"/>
          <w:i w:val="0"/>
          <w:color w:val="auto"/>
          <w:sz w:val="32"/>
          <w:lang w:val="en-US" w:eastAsia="zh-CN"/>
        </w:rPr>
        <w:t>1</w:t>
      </w:r>
      <w:r>
        <w:rPr>
          <w:rFonts w:ascii="仿宋_GB2312" w:hAnsi="仿宋_GB2312" w:eastAsia="仿宋_GB2312"/>
          <w:b w:val="0"/>
          <w:i w:val="0"/>
          <w:color w:val="auto"/>
          <w:sz w:val="32"/>
        </w:rPr>
        <w:t>）电子玩具产品功能复杂程度差异大，缺乏针对认知障碍人群的分级分类标准，照护者和康复人员难以根据使用者认知水平选择合适产品；</w:t>
      </w:r>
    </w:p>
    <w:p w14:paraId="26AE60A9">
      <w:pPr>
        <w:ind w:firstLine="640"/>
        <w:rPr>
          <w:color w:val="auto"/>
        </w:rPr>
      </w:pPr>
      <w:r>
        <w:rPr>
          <w:rFonts w:hint="eastAsia" w:ascii="仿宋_GB2312" w:hAnsi="仿宋_GB2312" w:eastAsia="仿宋_GB2312"/>
          <w:b w:val="0"/>
          <w:i w:val="0"/>
          <w:color w:val="auto"/>
          <w:sz w:val="32"/>
          <w:lang w:val="en-US" w:eastAsia="zh-CN"/>
        </w:rPr>
        <w:t>2</w:t>
      </w:r>
      <w:r>
        <w:rPr>
          <w:rFonts w:ascii="仿宋_GB2312" w:hAnsi="仿宋_GB2312" w:eastAsia="仿宋_GB2312"/>
          <w:b w:val="0"/>
          <w:i w:val="0"/>
          <w:color w:val="auto"/>
          <w:sz w:val="32"/>
        </w:rPr>
        <w:t>）现有标准如GB/Z 40847</w:t>
      </w:r>
      <w:r>
        <w:rPr>
          <w:rFonts w:hint="eastAsia" w:ascii="仿宋_GB2312" w:hAnsi="仿宋_GB2312" w:eastAsia="仿宋_GB2312"/>
          <w:b w:val="0"/>
          <w:i w:val="0"/>
          <w:color w:val="auto"/>
          <w:sz w:val="32"/>
          <w:lang w:val="en-US" w:eastAsia="zh-CN"/>
        </w:rPr>
        <w:t>-</w:t>
      </w:r>
      <w:r>
        <w:rPr>
          <w:rFonts w:ascii="仿宋_GB2312" w:hAnsi="仿宋_GB2312" w:eastAsia="仿宋_GB2312"/>
          <w:b w:val="0"/>
          <w:i w:val="0"/>
          <w:color w:val="auto"/>
          <w:sz w:val="32"/>
        </w:rPr>
        <w:t>2021《认知康复训练系统通用技术条件》主要针对医疗器械类认知康复设备，未涵盖非医疗器械类的电子玩具产品；</w:t>
      </w:r>
    </w:p>
    <w:p w14:paraId="1146C87B">
      <w:pPr>
        <w:ind w:firstLine="640"/>
        <w:rPr>
          <w:color w:val="auto"/>
        </w:rPr>
      </w:pPr>
      <w:r>
        <w:rPr>
          <w:rFonts w:hint="eastAsia" w:ascii="仿宋_GB2312" w:hAnsi="仿宋_GB2312" w:eastAsia="仿宋_GB2312"/>
          <w:b w:val="0"/>
          <w:i w:val="0"/>
          <w:color w:val="auto"/>
          <w:sz w:val="32"/>
          <w:lang w:val="en-US" w:eastAsia="zh-CN"/>
        </w:rPr>
        <w:t>3</w:t>
      </w:r>
      <w:r>
        <w:rPr>
          <w:rFonts w:ascii="仿宋_GB2312" w:hAnsi="仿宋_GB2312" w:eastAsia="仿宋_GB2312"/>
          <w:b w:val="0"/>
          <w:i w:val="0"/>
          <w:color w:val="auto"/>
          <w:sz w:val="32"/>
        </w:rPr>
        <w:t>）电子玩具与认知障碍分级之间缺乏明确的适配对应关系，导致产品使用不当、认知负荷过高或训练效果不足；</w:t>
      </w:r>
    </w:p>
    <w:p w14:paraId="2777B2F5">
      <w:pPr>
        <w:ind w:firstLine="640"/>
        <w:rPr>
          <w:color w:val="auto"/>
        </w:rPr>
      </w:pPr>
      <w:r>
        <w:rPr>
          <w:rFonts w:hint="eastAsia" w:ascii="仿宋_GB2312" w:hAnsi="仿宋_GB2312" w:eastAsia="仿宋_GB2312"/>
          <w:b w:val="0"/>
          <w:i w:val="0"/>
          <w:color w:val="auto"/>
          <w:sz w:val="32"/>
          <w:lang w:val="en-US" w:eastAsia="zh-CN"/>
        </w:rPr>
        <w:t>4</w:t>
      </w:r>
      <w:r>
        <w:rPr>
          <w:rFonts w:ascii="仿宋_GB2312" w:hAnsi="仿宋_GB2312" w:eastAsia="仿宋_GB2312"/>
          <w:b w:val="0"/>
          <w:i w:val="0"/>
          <w:color w:val="auto"/>
          <w:sz w:val="32"/>
        </w:rPr>
        <w:t>）缺乏电子玩具设计、评估验证及使用管理的系统性技术要求。</w:t>
      </w:r>
    </w:p>
    <w:p w14:paraId="5040105B">
      <w:pPr>
        <w:ind w:firstLine="640"/>
        <w:rPr>
          <w:color w:val="auto"/>
        </w:rPr>
      </w:pPr>
      <w:r>
        <w:rPr>
          <w:rFonts w:ascii="仿宋_GB2312" w:hAnsi="仿宋_GB2312" w:eastAsia="仿宋_GB2312"/>
          <w:b/>
          <w:i w:val="0"/>
          <w:color w:val="auto"/>
          <w:sz w:val="32"/>
        </w:rPr>
        <w:t>（4）本标准规范的内容及作用</w:t>
      </w:r>
    </w:p>
    <w:p w14:paraId="04C8E58D">
      <w:pPr>
        <w:ind w:firstLine="640"/>
        <w:rPr>
          <w:color w:val="auto"/>
        </w:rPr>
      </w:pPr>
      <w:r>
        <w:rPr>
          <w:rFonts w:ascii="仿宋_GB2312" w:hAnsi="仿宋_GB2312" w:eastAsia="仿宋_GB2312"/>
          <w:b w:val="0"/>
          <w:i w:val="0"/>
          <w:color w:val="auto"/>
          <w:sz w:val="32"/>
        </w:rPr>
        <w:t>本文件提供了针对认知障碍人群的电子玩具分级适配的指导，给出了认知障碍分级、电子玩具分级、适配原则、适配策略、电子玩具设计需考虑的因素、评估与验证、适配与使用管理等方面的建议。本文件通过建立认知障碍四级分级（轻度认知障碍、轻度痴呆、中度痴呆、重度痴呆）与电子玩具四级分级（A级基础感官型、B级简单互动型、C级认知训练型、D级综合应用型）的适配矩阵，为电子玩具的研发、生产、评估、适配及服务机构提供技术依据，为照护者、康复治疗师、社会工作者等提供产品选择与使用的科学指导，有助于提高电子玩具使用的安全性、有效性和个体化水平。</w:t>
      </w:r>
    </w:p>
    <w:p w14:paraId="1CB1DE6A">
      <w:pPr>
        <w:ind w:firstLine="640"/>
        <w:rPr>
          <w:color w:val="auto"/>
        </w:rPr>
      </w:pPr>
      <w:r>
        <w:rPr>
          <w:rFonts w:hint="eastAsia" w:ascii="黑体" w:hAnsi="黑体" w:eastAsia="黑体"/>
          <w:b w:val="0"/>
          <w:i w:val="0"/>
          <w:color w:val="auto"/>
          <w:sz w:val="32"/>
          <w:lang w:val="en-US" w:eastAsia="zh-CN"/>
        </w:rPr>
        <w:t>三、</w:t>
      </w:r>
      <w:r>
        <w:rPr>
          <w:rFonts w:ascii="黑体" w:hAnsi="黑体" w:eastAsia="黑体"/>
          <w:b w:val="0"/>
          <w:i w:val="0"/>
          <w:color w:val="auto"/>
          <w:sz w:val="32"/>
        </w:rPr>
        <w:t xml:space="preserve"> 主要工作过程。</w:t>
      </w:r>
    </w:p>
    <w:p w14:paraId="689D7A29">
      <w:pPr>
        <w:ind w:firstLine="640"/>
        <w:rPr>
          <w:color w:val="auto"/>
        </w:rPr>
      </w:pPr>
      <w:r>
        <w:rPr>
          <w:rFonts w:ascii="仿宋_GB2312" w:hAnsi="仿宋_GB2312" w:eastAsia="仿宋_GB2312"/>
          <w:b w:val="0"/>
          <w:i w:val="0"/>
          <w:color w:val="auto"/>
          <w:sz w:val="32"/>
        </w:rPr>
        <w:t>（1）立项阶段：202</w:t>
      </w:r>
      <w:r>
        <w:rPr>
          <w:rFonts w:hint="eastAsia" w:ascii="仿宋_GB2312" w:hAnsi="仿宋_GB2312" w:eastAsia="仿宋_GB2312"/>
          <w:b w:val="0"/>
          <w:i w:val="0"/>
          <w:color w:val="auto"/>
          <w:sz w:val="32"/>
          <w:lang w:val="en-US" w:eastAsia="zh-CN"/>
        </w:rPr>
        <w:t>6</w:t>
      </w:r>
      <w:r>
        <w:rPr>
          <w:rFonts w:ascii="仿宋_GB2312" w:hAnsi="仿宋_GB2312" w:eastAsia="仿宋_GB2312"/>
          <w:b w:val="0"/>
          <w:i w:val="0"/>
          <w:color w:val="auto"/>
          <w:sz w:val="32"/>
        </w:rPr>
        <w:t>年</w:t>
      </w:r>
      <w:r>
        <w:rPr>
          <w:rFonts w:hint="eastAsia" w:ascii="仿宋_GB2312" w:hAnsi="仿宋_GB2312" w:eastAsia="仿宋_GB2312"/>
          <w:b w:val="0"/>
          <w:i w:val="0"/>
          <w:color w:val="auto"/>
          <w:sz w:val="32"/>
          <w:lang w:val="en-US" w:eastAsia="zh-CN"/>
        </w:rPr>
        <w:t>6</w:t>
      </w:r>
      <w:r>
        <w:rPr>
          <w:rFonts w:ascii="仿宋_GB2312" w:hAnsi="仿宋_GB2312" w:eastAsia="仿宋_GB2312"/>
          <w:b w:val="0"/>
          <w:i w:val="0"/>
          <w:color w:val="auto"/>
          <w:sz w:val="32"/>
        </w:rPr>
        <w:t>月，北京标准化协会受理本标准立项申请，经专家论证后批准立项。</w:t>
      </w:r>
    </w:p>
    <w:p w14:paraId="77745970">
      <w:pPr>
        <w:ind w:firstLine="640"/>
        <w:rPr>
          <w:color w:val="auto"/>
        </w:rPr>
      </w:pPr>
      <w:r>
        <w:rPr>
          <w:rFonts w:ascii="仿宋_GB2312" w:hAnsi="仿宋_GB2312" w:eastAsia="仿宋_GB2312"/>
          <w:b w:val="0"/>
          <w:i w:val="0"/>
          <w:color w:val="auto"/>
          <w:sz w:val="32"/>
        </w:rPr>
        <w:t>（2）起草阶段：202</w:t>
      </w:r>
      <w:r>
        <w:rPr>
          <w:rFonts w:hint="eastAsia" w:ascii="仿宋_GB2312" w:hAnsi="仿宋_GB2312" w:eastAsia="仿宋_GB2312"/>
          <w:b w:val="0"/>
          <w:i w:val="0"/>
          <w:color w:val="auto"/>
          <w:sz w:val="32"/>
          <w:lang w:val="en-US" w:eastAsia="zh-CN"/>
        </w:rPr>
        <w:t>6</w:t>
      </w:r>
      <w:r>
        <w:rPr>
          <w:rFonts w:ascii="仿宋_GB2312" w:hAnsi="仿宋_GB2312" w:eastAsia="仿宋_GB2312"/>
          <w:b w:val="0"/>
          <w:i w:val="0"/>
          <w:color w:val="auto"/>
          <w:sz w:val="32"/>
        </w:rPr>
        <w:t>年</w:t>
      </w:r>
      <w:r>
        <w:rPr>
          <w:rFonts w:hint="eastAsia" w:ascii="仿宋_GB2312" w:hAnsi="仿宋_GB2312" w:eastAsia="仿宋_GB2312"/>
          <w:b w:val="0"/>
          <w:i w:val="0"/>
          <w:color w:val="auto"/>
          <w:sz w:val="32"/>
          <w:lang w:val="en-US" w:eastAsia="zh-CN"/>
        </w:rPr>
        <w:t>6</w:t>
      </w:r>
      <w:r>
        <w:rPr>
          <w:rFonts w:ascii="仿宋_GB2312" w:hAnsi="仿宋_GB2312" w:eastAsia="仿宋_GB2312"/>
          <w:b w:val="0"/>
          <w:i w:val="0"/>
          <w:color w:val="auto"/>
          <w:sz w:val="32"/>
        </w:rPr>
        <w:t>月至202</w:t>
      </w:r>
      <w:r>
        <w:rPr>
          <w:rFonts w:hint="eastAsia" w:ascii="仿宋_GB2312" w:hAnsi="仿宋_GB2312" w:eastAsia="仿宋_GB2312"/>
          <w:b w:val="0"/>
          <w:i w:val="0"/>
          <w:color w:val="auto"/>
          <w:sz w:val="32"/>
          <w:lang w:val="en-US" w:eastAsia="zh-CN"/>
        </w:rPr>
        <w:t>6</w:t>
      </w:r>
      <w:r>
        <w:rPr>
          <w:rFonts w:ascii="仿宋_GB2312" w:hAnsi="仿宋_GB2312" w:eastAsia="仿宋_GB2312"/>
          <w:b w:val="0"/>
          <w:i w:val="0"/>
          <w:color w:val="auto"/>
          <w:sz w:val="32"/>
        </w:rPr>
        <w:t>年</w:t>
      </w:r>
      <w:r>
        <w:rPr>
          <w:rFonts w:hint="eastAsia" w:ascii="仿宋_GB2312" w:hAnsi="仿宋_GB2312" w:eastAsia="仿宋_GB2312"/>
          <w:b w:val="0"/>
          <w:i w:val="0"/>
          <w:color w:val="auto"/>
          <w:sz w:val="32"/>
          <w:lang w:val="en-US" w:eastAsia="zh-CN"/>
        </w:rPr>
        <w:t>9</w:t>
      </w:r>
      <w:r>
        <w:rPr>
          <w:rFonts w:ascii="仿宋_GB2312" w:hAnsi="仿宋_GB2312" w:eastAsia="仿宋_GB2312"/>
          <w:b w:val="0"/>
          <w:i w:val="0"/>
          <w:color w:val="auto"/>
          <w:sz w:val="32"/>
        </w:rPr>
        <w:t>月，起草单位成立标准起草组，开展文献调研、专家咨询和实地调研，形成标准草案。</w:t>
      </w:r>
    </w:p>
    <w:p w14:paraId="7BF39AFA">
      <w:pPr>
        <w:ind w:firstLine="640"/>
        <w:rPr>
          <w:color w:val="auto"/>
        </w:rPr>
      </w:pPr>
      <w:r>
        <w:rPr>
          <w:rFonts w:ascii="仿宋_GB2312" w:hAnsi="仿宋_GB2312" w:eastAsia="仿宋_GB2312"/>
          <w:b w:val="0"/>
          <w:i w:val="0"/>
          <w:color w:val="auto"/>
          <w:sz w:val="32"/>
        </w:rPr>
        <w:t>（3）初审阶段：2026年9月，由北京标准化协会组织召开标准初审会，冯元利、郝永静、雷洋、王瑛、张小霞等5位专家对标准草案提出意见共47条。起草组逐条研究处理并形成意见汇总处理表，主要修改包括：补充目次与引言、完善封面ICS/CCS分类号、将DSM-5及认知负荷的解释性内容改为条注、第4章删除具体量表分值并聚焦功能特征描述、增设群体差异原则、将分级适配矩阵及适配注意事项调整至第7章适配策略、全文助动词统一为"宜"、条号引用统一为（见4.x）格式、列项编号统一为a）、b）、删除原附录B（分级适配示例）与附录C（安全使用检查清单）并对附录重新编号（A～K）、GB 6675系列改为不注日期引用并将ISO 9999:2022移入参考文献，形成标准征求意见修改稿。</w:t>
      </w:r>
    </w:p>
    <w:p w14:paraId="0A3B0657">
      <w:pPr>
        <w:ind w:firstLine="640"/>
        <w:rPr>
          <w:color w:val="auto"/>
        </w:rPr>
      </w:pPr>
      <w:r>
        <w:rPr>
          <w:rFonts w:ascii="仿宋_GB2312" w:hAnsi="仿宋_GB2312" w:eastAsia="仿宋_GB2312"/>
          <w:b w:val="0"/>
          <w:i w:val="0"/>
          <w:color w:val="auto"/>
          <w:sz w:val="32"/>
        </w:rPr>
        <w:t>（4）公开征求意见阶段：2026年9月至2026年10月，通过北京标准化协会网站向社会公开征求意见。</w:t>
      </w:r>
    </w:p>
    <w:p w14:paraId="0712F38B">
      <w:pPr>
        <w:ind w:firstLine="640"/>
        <w:rPr>
          <w:color w:val="auto"/>
        </w:rPr>
      </w:pPr>
      <w:r>
        <w:rPr>
          <w:rFonts w:ascii="仿宋_GB2312" w:hAnsi="仿宋_GB2312" w:eastAsia="仿宋_GB2312"/>
          <w:b w:val="0"/>
          <w:i w:val="0"/>
          <w:color w:val="auto"/>
          <w:sz w:val="32"/>
        </w:rPr>
        <w:t>（5）预审会阶段：2026年11月，由北京标准化协会组织召开标准预审会，邀请来自康复医学、老年医学、标准化、人机交互等领域的专家对标准草案进行预审，主要会议内容包括：标准框架结构审查、技术指标合理性论证、与相关标准协调性分析等。参会部门包括：北京劳动保障职业学院、南方科技大学医院、广东永爱医养产业有限公司、深圳市鹤灵医疗设备技术开发有限责任公司、深圳大学总医院、北京标准化协会、养老机构等。</w:t>
      </w:r>
    </w:p>
    <w:p w14:paraId="7937A069">
      <w:pPr>
        <w:ind w:firstLine="640"/>
        <w:rPr>
          <w:color w:val="auto"/>
        </w:rPr>
      </w:pPr>
      <w:r>
        <w:rPr>
          <w:rFonts w:ascii="仿宋_GB2312" w:hAnsi="仿宋_GB2312" w:eastAsia="仿宋_GB2312"/>
          <w:b w:val="0"/>
          <w:i w:val="0"/>
          <w:color w:val="auto"/>
          <w:sz w:val="32"/>
        </w:rPr>
        <w:t>（6）审查会阶段：2026年12月，由北京标准化协会组织召开标准审查会，审查专家组对标准送审稿进行审查，一致认为本标准技术内容合理、可操作性强，同意通过审查。</w:t>
      </w:r>
    </w:p>
    <w:p w14:paraId="69AC7D58">
      <w:pPr>
        <w:ind w:firstLine="640"/>
        <w:rPr>
          <w:color w:val="auto"/>
        </w:rPr>
      </w:pPr>
      <w:r>
        <w:rPr>
          <w:rFonts w:ascii="仿宋_GB2312" w:hAnsi="仿宋_GB2312" w:eastAsia="仿宋_GB2312"/>
          <w:b w:val="0"/>
          <w:i w:val="0"/>
          <w:color w:val="auto"/>
          <w:sz w:val="32"/>
        </w:rPr>
        <w:t>（7）报批阶段：根据审查会意见修改完善后，形成标准报批稿，报送北京标准化协会批准发布。</w:t>
      </w:r>
    </w:p>
    <w:p w14:paraId="18592110">
      <w:pPr>
        <w:ind w:firstLine="640"/>
        <w:rPr>
          <w:color w:val="auto"/>
        </w:rPr>
      </w:pPr>
      <w:r>
        <w:rPr>
          <w:rFonts w:hint="eastAsia" w:ascii="黑体" w:hAnsi="黑体" w:eastAsia="黑体"/>
          <w:b w:val="0"/>
          <w:i w:val="0"/>
          <w:color w:val="auto"/>
          <w:sz w:val="32"/>
          <w:lang w:val="en-US" w:eastAsia="zh-CN"/>
        </w:rPr>
        <w:t>四、</w:t>
      </w:r>
      <w:r>
        <w:rPr>
          <w:rFonts w:ascii="黑体" w:hAnsi="黑体" w:eastAsia="黑体"/>
          <w:b w:val="0"/>
          <w:i w:val="0"/>
          <w:color w:val="auto"/>
          <w:sz w:val="32"/>
        </w:rPr>
        <w:t xml:space="preserve"> 制定标准的原则和依据，与现行法律、法规、标准的关系。</w:t>
      </w:r>
    </w:p>
    <w:p w14:paraId="362AF190">
      <w:pPr>
        <w:ind w:firstLine="640"/>
        <w:rPr>
          <w:color w:val="auto"/>
        </w:rPr>
      </w:pPr>
      <w:r>
        <w:rPr>
          <w:rFonts w:ascii="仿宋_GB2312" w:hAnsi="仿宋_GB2312" w:eastAsia="仿宋_GB2312"/>
          <w:b/>
          <w:i w:val="0"/>
          <w:color w:val="auto"/>
          <w:sz w:val="32"/>
        </w:rPr>
        <w:t>（1）制定原则</w:t>
      </w:r>
    </w:p>
    <w:p w14:paraId="2D846F62">
      <w:pPr>
        <w:ind w:firstLine="640"/>
        <w:rPr>
          <w:color w:val="auto"/>
        </w:rPr>
      </w:pPr>
      <w:r>
        <w:rPr>
          <w:rFonts w:ascii="仿宋_GB2312" w:hAnsi="仿宋_GB2312" w:eastAsia="仿宋_GB2312"/>
          <w:b w:val="0"/>
          <w:i w:val="0"/>
          <w:color w:val="auto"/>
          <w:sz w:val="32"/>
        </w:rPr>
        <w:t>本标准按照GB/T 1.1</w:t>
      </w:r>
      <w:r>
        <w:rPr>
          <w:rFonts w:hint="eastAsia" w:ascii="仿宋_GB2312" w:hAnsi="仿宋_GB2312" w:eastAsia="仿宋_GB2312"/>
          <w:b w:val="0"/>
          <w:i w:val="0"/>
          <w:color w:val="auto"/>
          <w:sz w:val="32"/>
          <w:lang w:val="en-US" w:eastAsia="zh-CN"/>
        </w:rPr>
        <w:t>-</w:t>
      </w:r>
      <w:r>
        <w:rPr>
          <w:rFonts w:ascii="仿宋_GB2312" w:hAnsi="仿宋_GB2312" w:eastAsia="仿宋_GB2312"/>
          <w:b w:val="0"/>
          <w:i w:val="0"/>
          <w:color w:val="auto"/>
          <w:sz w:val="32"/>
        </w:rPr>
        <w:t>2020《标准化工作导则 第1部分：标准化文件的结构和起草规则》的规定起草。制定过程中遵循科学性、实用性、可操作性和前瞻性原则，充分考虑认知障碍人群的认知特点、功能需求及使用安全。</w:t>
      </w:r>
    </w:p>
    <w:p w14:paraId="6DE4756D">
      <w:pPr>
        <w:ind w:firstLine="640"/>
        <w:rPr>
          <w:color w:val="auto"/>
        </w:rPr>
      </w:pPr>
      <w:r>
        <w:rPr>
          <w:rFonts w:ascii="仿宋_GB2312" w:hAnsi="仿宋_GB2312" w:eastAsia="仿宋_GB2312"/>
          <w:b/>
          <w:i w:val="0"/>
          <w:color w:val="auto"/>
          <w:sz w:val="32"/>
        </w:rPr>
        <w:t>（2）法律法规及政策依据</w:t>
      </w:r>
    </w:p>
    <w:p w14:paraId="1FDB277D">
      <w:pPr>
        <w:ind w:firstLine="640"/>
        <w:rPr>
          <w:color w:val="auto"/>
        </w:rPr>
      </w:pPr>
      <w:r>
        <w:rPr>
          <w:rFonts w:ascii="仿宋_GB2312" w:hAnsi="仿宋_GB2312" w:eastAsia="仿宋_GB2312"/>
          <w:b w:val="0"/>
          <w:i w:val="0"/>
          <w:color w:val="auto"/>
          <w:sz w:val="32"/>
        </w:rPr>
        <w:t>《中华人民共和国标准化法》《中华人民共和国老年人权益保障法》《"十四五"国家老龄事业发展和养老服务体系规划》《关于发展银发经济增进老年人福祉的意见》《康复辅助器具产业扩能提质三年行动方案（2026－2028年）》《国家药监局关于发布康复类数字疗法软件产品注册审查指导原则的通告》。</w:t>
      </w:r>
    </w:p>
    <w:p w14:paraId="2B90BC53">
      <w:pPr>
        <w:ind w:firstLine="640"/>
        <w:rPr>
          <w:color w:val="auto"/>
        </w:rPr>
      </w:pPr>
      <w:r>
        <w:rPr>
          <w:rFonts w:ascii="仿宋_GB2312" w:hAnsi="仿宋_GB2312" w:eastAsia="仿宋_GB2312"/>
          <w:b/>
          <w:i w:val="0"/>
          <w:color w:val="auto"/>
          <w:sz w:val="32"/>
        </w:rPr>
        <w:t>（3）与现行标准的关系</w:t>
      </w:r>
    </w:p>
    <w:p w14:paraId="7B1C0CC7">
      <w:pPr>
        <w:ind w:firstLine="640"/>
        <w:rPr>
          <w:color w:val="auto"/>
        </w:rPr>
      </w:pPr>
      <w:r>
        <w:rPr>
          <w:rFonts w:ascii="仿宋_GB2312" w:hAnsi="仿宋_GB2312" w:eastAsia="仿宋_GB2312"/>
          <w:b w:val="0"/>
          <w:i w:val="0"/>
          <w:color w:val="auto"/>
          <w:sz w:val="32"/>
        </w:rPr>
        <w:t>本文件规范性引用了GB 6675.1《玩具安全 第1部分：基本规范》、GB 6675.2《玩具安全 第2部分：机械与物理性能》、GB/T 26341《残疾人残疾分类和分级》等国家标准（均采用不注日期引用，其最新版本适用）；ISO 9999:2022《Technical aids for persons with disability — Classification and terminology》改作参考文献列出。</w:t>
      </w:r>
    </w:p>
    <w:p w14:paraId="1A1CFDD2">
      <w:pPr>
        <w:ind w:firstLine="640"/>
        <w:rPr>
          <w:color w:val="auto"/>
        </w:rPr>
      </w:pPr>
      <w:r>
        <w:rPr>
          <w:rFonts w:ascii="仿宋_GB2312" w:hAnsi="仿宋_GB2312" w:eastAsia="仿宋_GB2312"/>
          <w:b w:val="0"/>
          <w:i w:val="0"/>
          <w:color w:val="auto"/>
          <w:sz w:val="32"/>
        </w:rPr>
        <w:t>对比分析：现有国家标准GB/Z 40847</w:t>
      </w:r>
      <w:r>
        <w:rPr>
          <w:rFonts w:hint="eastAsia" w:ascii="仿宋_GB2312" w:hAnsi="仿宋_GB2312" w:eastAsia="仿宋_GB2312"/>
          <w:b w:val="0"/>
          <w:i w:val="0"/>
          <w:color w:val="auto"/>
          <w:sz w:val="32"/>
          <w:lang w:val="en-US" w:eastAsia="zh-CN"/>
        </w:rPr>
        <w:t>-</w:t>
      </w:r>
      <w:r>
        <w:rPr>
          <w:rFonts w:ascii="仿宋_GB2312" w:hAnsi="仿宋_GB2312" w:eastAsia="仿宋_GB2312"/>
          <w:b w:val="0"/>
          <w:i w:val="0"/>
          <w:color w:val="auto"/>
          <w:sz w:val="32"/>
        </w:rPr>
        <w:t>2021《认知康复训练系统通用技术条件》主要针对医疗器械类认知康复训练系统的通用技术要求，未涉及非医疗器械类电子玩具产品的分级适配；GB/T 42818.1</w:t>
      </w:r>
      <w:r>
        <w:rPr>
          <w:rFonts w:hint="eastAsia" w:ascii="仿宋_GB2312" w:hAnsi="仿宋_GB2312" w:eastAsia="仿宋_GB2312"/>
          <w:b w:val="0"/>
          <w:i w:val="0"/>
          <w:color w:val="auto"/>
          <w:sz w:val="32"/>
          <w:lang w:val="en-US" w:eastAsia="zh-CN"/>
        </w:rPr>
        <w:t>-</w:t>
      </w:r>
      <w:r>
        <w:rPr>
          <w:rFonts w:ascii="仿宋_GB2312" w:hAnsi="仿宋_GB2312" w:eastAsia="仿宋_GB2312"/>
          <w:b w:val="0"/>
          <w:i w:val="0"/>
          <w:color w:val="auto"/>
          <w:sz w:val="32"/>
        </w:rPr>
        <w:t>2023《认知无障碍 第1部分：一般指南》等同采用ISO 21801</w:t>
      </w:r>
      <w:r>
        <w:rPr>
          <w:rFonts w:hint="eastAsia" w:ascii="仿宋_GB2312" w:hAnsi="仿宋_GB2312" w:eastAsia="仿宋_GB2312"/>
          <w:b w:val="0"/>
          <w:i w:val="0"/>
          <w:color w:val="auto"/>
          <w:sz w:val="32"/>
          <w:lang w:val="en-US" w:eastAsia="zh-CN"/>
        </w:rPr>
        <w:t>-</w:t>
      </w:r>
      <w:r>
        <w:rPr>
          <w:rFonts w:ascii="仿宋_GB2312" w:hAnsi="仿宋_GB2312" w:eastAsia="仿宋_GB2312"/>
          <w:b w:val="0"/>
          <w:i w:val="0"/>
          <w:color w:val="auto"/>
          <w:sz w:val="32"/>
        </w:rPr>
        <w:t>1:2020，侧重于认知无障碍的一般性指南；DB44/T 2232</w:t>
      </w:r>
      <w:r>
        <w:rPr>
          <w:rFonts w:hint="eastAsia" w:ascii="仿宋_GB2312" w:hAnsi="仿宋_GB2312" w:eastAsia="仿宋_GB2312"/>
          <w:b w:val="0"/>
          <w:i w:val="0"/>
          <w:color w:val="auto"/>
          <w:sz w:val="32"/>
          <w:lang w:val="en-US" w:eastAsia="zh-CN"/>
        </w:rPr>
        <w:t>-</w:t>
      </w:r>
      <w:r>
        <w:rPr>
          <w:rFonts w:ascii="仿宋_GB2312" w:hAnsi="仿宋_GB2312" w:eastAsia="仿宋_GB2312"/>
          <w:b w:val="0"/>
          <w:i w:val="0"/>
          <w:color w:val="auto"/>
          <w:sz w:val="32"/>
        </w:rPr>
        <w:t>2020等地方标准主要规范养老机构认知症老人照护服务。本标准填补了认知障碍人群电子玩具分级适配领域的标准空白，与上述标准形成互补关系，对电子玩具的分级、适配、设计、评估和使用管理进行了细化和补充。</w:t>
      </w:r>
    </w:p>
    <w:p w14:paraId="102DDC6E">
      <w:pPr>
        <w:ind w:firstLine="640"/>
        <w:rPr>
          <w:color w:val="auto"/>
        </w:rPr>
      </w:pPr>
      <w:r>
        <w:rPr>
          <w:rFonts w:hint="eastAsia" w:ascii="黑体" w:hAnsi="黑体" w:eastAsia="黑体"/>
          <w:b w:val="0"/>
          <w:i w:val="0"/>
          <w:color w:val="auto"/>
          <w:sz w:val="32"/>
          <w:lang w:val="en-US" w:eastAsia="zh-CN"/>
        </w:rPr>
        <w:t>五、</w:t>
      </w:r>
      <w:r>
        <w:rPr>
          <w:rFonts w:ascii="黑体" w:hAnsi="黑体" w:eastAsia="黑体"/>
          <w:b w:val="0"/>
          <w:i w:val="0"/>
          <w:color w:val="auto"/>
          <w:sz w:val="32"/>
        </w:rPr>
        <w:t xml:space="preserve"> 主要条款的说明，主要技术指标、参数、实验验证的论述。</w:t>
      </w:r>
    </w:p>
    <w:p w14:paraId="66BFFB15">
      <w:pPr>
        <w:ind w:firstLine="640"/>
        <w:rPr>
          <w:color w:val="auto"/>
        </w:rPr>
      </w:pPr>
      <w:r>
        <w:rPr>
          <w:rFonts w:ascii="仿宋_GB2312" w:hAnsi="仿宋_GB2312" w:eastAsia="仿宋_GB2312"/>
          <w:b/>
          <w:i w:val="0"/>
          <w:color w:val="auto"/>
          <w:sz w:val="32"/>
        </w:rPr>
        <w:t>（1）第3章 术语和定义</w:t>
      </w:r>
    </w:p>
    <w:p w14:paraId="69524085">
      <w:pPr>
        <w:ind w:firstLine="640"/>
        <w:rPr>
          <w:color w:val="auto"/>
        </w:rPr>
      </w:pPr>
      <w:r>
        <w:rPr>
          <w:rFonts w:ascii="仿宋_GB2312" w:hAnsi="仿宋_GB2312" w:eastAsia="仿宋_GB2312"/>
          <w:b w:val="0"/>
          <w:i w:val="0"/>
          <w:color w:val="auto"/>
          <w:sz w:val="32"/>
        </w:rPr>
        <w:t>明确了认知障碍、电子玩具、分级适配、认知负荷、辅助性操作等5个核心术语。其中"认知障碍"的定义依据DSM</w:t>
      </w:r>
      <w:r>
        <w:rPr>
          <w:rFonts w:hint="eastAsia" w:ascii="仿宋_GB2312" w:hAnsi="仿宋_GB2312" w:eastAsia="仿宋_GB2312"/>
          <w:b w:val="0"/>
          <w:i w:val="0"/>
          <w:color w:val="auto"/>
          <w:sz w:val="32"/>
          <w:lang w:val="en-US" w:eastAsia="zh-CN"/>
        </w:rPr>
        <w:t>-</w:t>
      </w:r>
      <w:r>
        <w:rPr>
          <w:rFonts w:ascii="仿宋_GB2312" w:hAnsi="仿宋_GB2312" w:eastAsia="仿宋_GB2312"/>
          <w:b w:val="0"/>
          <w:i w:val="0"/>
          <w:color w:val="auto"/>
          <w:sz w:val="32"/>
        </w:rPr>
        <w:t>5六大核心认知域进行分类，强调记忆不再是诊断认知障碍的必要条件，任何单一或多个认知域出现功能下降均可构成诊断依据。</w:t>
      </w:r>
    </w:p>
    <w:p w14:paraId="7F5A111E">
      <w:pPr>
        <w:ind w:firstLine="640"/>
        <w:rPr>
          <w:color w:val="auto"/>
        </w:rPr>
      </w:pPr>
      <w:r>
        <w:rPr>
          <w:rFonts w:ascii="仿宋_GB2312" w:hAnsi="仿宋_GB2312" w:eastAsia="仿宋_GB2312"/>
          <w:b/>
          <w:i w:val="0"/>
          <w:color w:val="auto"/>
          <w:sz w:val="32"/>
        </w:rPr>
        <w:t>（2）第4章 认知障碍分级</w:t>
      </w:r>
    </w:p>
    <w:p w14:paraId="53469ABA">
      <w:pPr>
        <w:ind w:firstLine="640"/>
        <w:rPr>
          <w:color w:val="auto"/>
        </w:rPr>
      </w:pPr>
      <w:r>
        <w:rPr>
          <w:rFonts w:ascii="仿宋_GB2312" w:hAnsi="仿宋_GB2312" w:eastAsia="仿宋_GB2312"/>
          <w:b w:val="0"/>
          <w:i w:val="0"/>
          <w:color w:val="auto"/>
          <w:sz w:val="32"/>
        </w:rPr>
        <w:t>采用AD-8量表进行快速筛查，结合MoCA量表和Barthel指数等进行分级，将认知障碍分为轻度认知障碍、轻度痴呆、中度痴呆、重度痴呆四个等级。正文以各等级功能特征描述为核心，具体量表分值及评分标准移至附录B～附录E中给出，避免正文与附录内容重复。分级工具选择基于临床广泛应用、操作简便、信效度良好的原则。</w:t>
      </w:r>
    </w:p>
    <w:p w14:paraId="366E3DE2">
      <w:pPr>
        <w:ind w:firstLine="640"/>
        <w:rPr>
          <w:color w:val="auto"/>
        </w:rPr>
      </w:pPr>
      <w:r>
        <w:rPr>
          <w:rFonts w:ascii="仿宋_GB2312" w:hAnsi="仿宋_GB2312" w:eastAsia="仿宋_GB2312"/>
          <w:b/>
          <w:i w:val="0"/>
          <w:color w:val="auto"/>
          <w:sz w:val="32"/>
        </w:rPr>
        <w:t>（3）第5章 电子玩具分级</w:t>
      </w:r>
    </w:p>
    <w:p w14:paraId="6EE9590E">
      <w:pPr>
        <w:ind w:firstLine="640"/>
        <w:rPr>
          <w:color w:val="auto"/>
        </w:rPr>
      </w:pPr>
      <w:r>
        <w:rPr>
          <w:rFonts w:ascii="仿宋_GB2312" w:hAnsi="仿宋_GB2312" w:eastAsia="仿宋_GB2312"/>
          <w:b w:val="0"/>
          <w:i w:val="0"/>
          <w:color w:val="auto"/>
          <w:sz w:val="32"/>
        </w:rPr>
        <w:t>按照功能类型、操作复杂度、认知负荷及互动方式将电子玩具分为A级（基础感官型）、B级（简单互动型）、C级（认知训练型）、D级（综合应用型）四个等级。主要技术指标包括：操作步骤数（A级被动/1步，B级≤2步，C级2</w:t>
      </w:r>
      <w:r>
        <w:rPr>
          <w:rFonts w:hint="eastAsia" w:ascii="仿宋_GB2312" w:hAnsi="仿宋_GB2312" w:eastAsia="仿宋_GB2312"/>
          <w:b w:val="0"/>
          <w:i w:val="0"/>
          <w:color w:val="auto"/>
          <w:sz w:val="32"/>
          <w:lang w:eastAsia="zh-CN"/>
        </w:rPr>
        <w:t>～</w:t>
      </w:r>
      <w:r>
        <w:rPr>
          <w:rFonts w:ascii="仿宋_GB2312" w:hAnsi="仿宋_GB2312" w:eastAsia="仿宋_GB2312"/>
          <w:b w:val="0"/>
          <w:i w:val="0"/>
          <w:color w:val="auto"/>
          <w:sz w:val="32"/>
        </w:rPr>
        <w:t>4步，D级≥4步）、界面元素数（A级1个，B级≤3个，C级3</w:t>
      </w:r>
      <w:r>
        <w:rPr>
          <w:rFonts w:hint="eastAsia" w:ascii="仿宋_GB2312" w:hAnsi="仿宋_GB2312" w:eastAsia="仿宋_GB2312"/>
          <w:b w:val="0"/>
          <w:i w:val="0"/>
          <w:color w:val="auto"/>
          <w:sz w:val="32"/>
          <w:lang w:eastAsia="zh-CN"/>
        </w:rPr>
        <w:t>～</w:t>
      </w:r>
      <w:r>
        <w:rPr>
          <w:rFonts w:ascii="仿宋_GB2312" w:hAnsi="仿宋_GB2312" w:eastAsia="仿宋_GB2312"/>
          <w:b w:val="0"/>
          <w:i w:val="0"/>
          <w:color w:val="auto"/>
          <w:sz w:val="32"/>
        </w:rPr>
        <w:t>6个，D级≥6个）、认知负荷（极低/低/中等/较高）、任务时长（A级不限，B级≤5分钟，C级5</w:t>
      </w:r>
      <w:r>
        <w:rPr>
          <w:rFonts w:hint="eastAsia" w:ascii="仿宋_GB2312" w:hAnsi="仿宋_GB2312" w:eastAsia="仿宋_GB2312"/>
          <w:b w:val="0"/>
          <w:i w:val="0"/>
          <w:color w:val="auto"/>
          <w:sz w:val="32"/>
          <w:lang w:eastAsia="zh-CN"/>
        </w:rPr>
        <w:t>～</w:t>
      </w:r>
      <w:r>
        <w:rPr>
          <w:rFonts w:ascii="仿宋_GB2312" w:hAnsi="仿宋_GB2312" w:eastAsia="仿宋_GB2312"/>
          <w:b w:val="0"/>
          <w:i w:val="0"/>
          <w:color w:val="auto"/>
          <w:sz w:val="32"/>
        </w:rPr>
        <w:t>15分钟，D级15</w:t>
      </w:r>
      <w:r>
        <w:rPr>
          <w:rFonts w:hint="eastAsia" w:ascii="仿宋_GB2312" w:hAnsi="仿宋_GB2312" w:eastAsia="仿宋_GB2312"/>
          <w:b w:val="0"/>
          <w:i w:val="0"/>
          <w:color w:val="auto"/>
          <w:sz w:val="32"/>
          <w:lang w:eastAsia="zh-CN"/>
        </w:rPr>
        <w:t>～</w:t>
      </w:r>
      <w:r>
        <w:rPr>
          <w:rFonts w:ascii="仿宋_GB2312" w:hAnsi="仿宋_GB2312" w:eastAsia="仿宋_GB2312"/>
          <w:b w:val="0"/>
          <w:i w:val="0"/>
          <w:color w:val="auto"/>
          <w:sz w:val="32"/>
        </w:rPr>
        <w:t>30分钟）。</w:t>
      </w:r>
    </w:p>
    <w:p w14:paraId="0484F7BE">
      <w:pPr>
        <w:ind w:firstLine="640"/>
        <w:rPr>
          <w:color w:val="auto"/>
        </w:rPr>
      </w:pPr>
      <w:r>
        <w:rPr>
          <w:rFonts w:ascii="仿宋_GB2312" w:hAnsi="仿宋_GB2312" w:eastAsia="仿宋_GB2312"/>
          <w:b/>
          <w:i w:val="0"/>
          <w:color w:val="auto"/>
          <w:sz w:val="32"/>
        </w:rPr>
        <w:t>（4）第6章 适配原则</w:t>
      </w:r>
    </w:p>
    <w:p w14:paraId="1226BCAB">
      <w:pPr>
        <w:ind w:firstLine="640"/>
        <w:rPr>
          <w:color w:val="auto"/>
        </w:rPr>
      </w:pPr>
      <w:r>
        <w:rPr>
          <w:rFonts w:ascii="仿宋_GB2312" w:hAnsi="仿宋_GB2312" w:eastAsia="仿宋_GB2312"/>
          <w:b w:val="0"/>
          <w:i w:val="0"/>
          <w:color w:val="auto"/>
          <w:sz w:val="32"/>
        </w:rPr>
        <w:t>确立了安全性、个体化、渐进性、参与性、动态调整、辅助支持、群体差异七项原则，其中群体差异原则系根据初审会专家意见增设，强调适配时宜兼顾年龄、性别、文化背景等群体差异。分级适配矩阵及适配注意事项调整至第7章适配策略中规定。矩阵明确了各认知障碍等级对应的优先适配等级、可选适配等级、禁用等级及适配方式，其中：轻度认知障碍优先适配C级、D级；轻度痴呆优先适配B级、C级，禁用D级；中度痴呆优先适配B级，禁用C级、D级；重度痴呆优先适配A级，禁用C级、D级。</w:t>
      </w:r>
    </w:p>
    <w:p w14:paraId="2A8C582A">
      <w:pPr>
        <w:ind w:firstLine="640"/>
        <w:rPr>
          <w:color w:val="auto"/>
        </w:rPr>
      </w:pPr>
      <w:r>
        <w:rPr>
          <w:rFonts w:ascii="仿宋_GB2312" w:hAnsi="仿宋_GB2312" w:eastAsia="仿宋_GB2312"/>
          <w:b/>
          <w:i w:val="0"/>
          <w:color w:val="auto"/>
          <w:sz w:val="32"/>
        </w:rPr>
        <w:t>（5）第7章 适配策略</w:t>
      </w:r>
    </w:p>
    <w:p w14:paraId="4B5FE253">
      <w:pPr>
        <w:ind w:firstLine="640"/>
        <w:rPr>
          <w:color w:val="auto"/>
        </w:rPr>
      </w:pPr>
      <w:r>
        <w:rPr>
          <w:rFonts w:ascii="仿宋_GB2312" w:hAnsi="仿宋_GB2312" w:eastAsia="仿宋_GB2312"/>
          <w:b w:val="0"/>
          <w:i w:val="0"/>
          <w:color w:val="auto"/>
          <w:sz w:val="32"/>
        </w:rPr>
        <w:t>规定了评估流程、分级适配矩阵、各等级人群的具体适配方案及适配注意事项，包括推荐产品类型、使用时长、辅助需求、复评周期等。轻度认知障碍每日使用15～30分钟，轻度痴呆5～15分钟，中度痴呆5～10分钟，重度痴呆以舒适愉悦为度。</w:t>
      </w:r>
    </w:p>
    <w:p w14:paraId="3DFF5BE8">
      <w:pPr>
        <w:ind w:firstLine="640"/>
        <w:rPr>
          <w:color w:val="auto"/>
        </w:rPr>
      </w:pPr>
      <w:r>
        <w:rPr>
          <w:rFonts w:ascii="仿宋_GB2312" w:hAnsi="仿宋_GB2312" w:eastAsia="仿宋_GB2312"/>
          <w:b/>
          <w:i w:val="0"/>
          <w:color w:val="auto"/>
          <w:sz w:val="32"/>
        </w:rPr>
        <w:t>（6）第8章 电子玩具设计需考虑的因素</w:t>
      </w:r>
    </w:p>
    <w:p w14:paraId="68F90B27">
      <w:pPr>
        <w:ind w:firstLine="640"/>
        <w:rPr>
          <w:color w:val="auto"/>
        </w:rPr>
      </w:pPr>
      <w:r>
        <w:rPr>
          <w:rFonts w:ascii="仿宋_GB2312" w:hAnsi="仿宋_GB2312" w:eastAsia="仿宋_GB2312"/>
          <w:b w:val="0"/>
          <w:i w:val="0"/>
          <w:color w:val="auto"/>
          <w:sz w:val="32"/>
        </w:rPr>
        <w:t>从感官设计（视觉对比度不低于4.5:1、字体不小于18pt、图标不小于2cm×2cm；音量40～80dB）、交互设计（直观一致、明确引导、高容错性）、内容设计（贴近生活经验、避免抽象符号、提供怀旧元素）、安全设计（防误开电池仓、过充保护、表面温度不超过45℃）四个维度给出设计宜考虑的因素。</w:t>
      </w:r>
    </w:p>
    <w:p w14:paraId="630B9764">
      <w:pPr>
        <w:ind w:firstLine="640"/>
        <w:rPr>
          <w:color w:val="auto"/>
        </w:rPr>
      </w:pPr>
      <w:r>
        <w:rPr>
          <w:rFonts w:ascii="仿宋_GB2312" w:hAnsi="仿宋_GB2312" w:eastAsia="仿宋_GB2312"/>
          <w:b/>
          <w:i w:val="0"/>
          <w:color w:val="auto"/>
          <w:sz w:val="32"/>
        </w:rPr>
        <w:t>（7）第9章 评估与验证</w:t>
      </w:r>
    </w:p>
    <w:p w14:paraId="296EB834">
      <w:pPr>
        <w:ind w:firstLine="640"/>
        <w:rPr>
          <w:color w:val="auto"/>
        </w:rPr>
      </w:pPr>
      <w:r>
        <w:rPr>
          <w:rFonts w:ascii="仿宋_GB2312" w:hAnsi="仿宋_GB2312" w:eastAsia="仿宋_GB2312"/>
          <w:b w:val="0"/>
          <w:i w:val="0"/>
          <w:color w:val="auto"/>
          <w:sz w:val="32"/>
        </w:rPr>
        <w:t>从参与度、成功率、情绪反应、认知表现、功能迁移、满意度六个维度建立适配效果评估体系，规定了评估工具（AD</w:t>
      </w:r>
      <w:r>
        <w:rPr>
          <w:rFonts w:hint="eastAsia" w:ascii="仿宋_GB2312" w:hAnsi="仿宋_GB2312" w:eastAsia="仿宋_GB2312"/>
          <w:b w:val="0"/>
          <w:i w:val="0"/>
          <w:color w:val="auto"/>
          <w:sz w:val="32"/>
          <w:lang w:eastAsia="zh-CN"/>
        </w:rPr>
        <w:t>-</w:t>
      </w:r>
      <w:r>
        <w:rPr>
          <w:rFonts w:ascii="仿宋_GB2312" w:hAnsi="仿宋_GB2312" w:eastAsia="仿宋_GB2312"/>
          <w:b w:val="0"/>
          <w:i w:val="0"/>
          <w:color w:val="auto"/>
          <w:sz w:val="32"/>
        </w:rPr>
        <w:t>8、MoCA、ADL、IADL、NPI等）和评估周期。</w:t>
      </w:r>
    </w:p>
    <w:p w14:paraId="49029E71">
      <w:pPr>
        <w:ind w:firstLine="640"/>
        <w:rPr>
          <w:color w:val="auto"/>
        </w:rPr>
      </w:pPr>
      <w:r>
        <w:rPr>
          <w:rFonts w:ascii="仿宋_GB2312" w:hAnsi="仿宋_GB2312" w:eastAsia="仿宋_GB2312"/>
          <w:b/>
          <w:i w:val="0"/>
          <w:color w:val="auto"/>
          <w:sz w:val="32"/>
        </w:rPr>
        <w:t>（8）第10章 适配与使用管理</w:t>
      </w:r>
    </w:p>
    <w:p w14:paraId="4D3984B5">
      <w:pPr>
        <w:ind w:firstLine="640"/>
        <w:rPr>
          <w:color w:val="auto"/>
        </w:rPr>
      </w:pPr>
      <w:r>
        <w:rPr>
          <w:rFonts w:ascii="仿宋_GB2312" w:hAnsi="仿宋_GB2312" w:eastAsia="仿宋_GB2312"/>
          <w:b w:val="0"/>
          <w:i w:val="0"/>
          <w:color w:val="auto"/>
          <w:sz w:val="32"/>
        </w:rPr>
        <w:t>对人员要求（神经心理评估资质、照护者培训、多学科团队）、环境要求（温度18～26℃、噪声≤50dB、桌面不小于60cm×40cm）、记录与档案（保存期限不少于停止使用后2年）给出管理建议。</w:t>
      </w:r>
    </w:p>
    <w:p w14:paraId="601F598B">
      <w:pPr>
        <w:ind w:firstLine="640"/>
        <w:rPr>
          <w:color w:val="auto"/>
        </w:rPr>
      </w:pPr>
      <w:r>
        <w:rPr>
          <w:rFonts w:ascii="仿宋_GB2312" w:hAnsi="仿宋_GB2312" w:eastAsia="仿宋_GB2312"/>
          <w:b/>
          <w:i w:val="0"/>
          <w:color w:val="auto"/>
          <w:sz w:val="32"/>
        </w:rPr>
        <w:t>（9）附录</w:t>
      </w:r>
    </w:p>
    <w:p w14:paraId="65932685">
      <w:pPr>
        <w:keepLines w:val="0"/>
        <w:spacing w:before="120" w:after="60" w:line="360" w:lineRule="auto"/>
        <w:jc w:val="left"/>
        <w:rPr>
          <w:rFonts w:ascii="仿宋_GB2312" w:hAnsi="仿宋_GB2312" w:eastAsia="仿宋_GB2312"/>
          <w:b w:val="0"/>
          <w:i w:val="0"/>
          <w:color w:val="auto"/>
          <w:sz w:val="32"/>
        </w:rPr>
      </w:pPr>
      <w:r>
        <w:rPr>
          <w:rFonts w:ascii="仿宋_GB2312" w:hAnsi="仿宋_GB2312" w:eastAsia="仿宋_GB2312"/>
          <w:b w:val="0"/>
          <w:i w:val="0"/>
          <w:color w:val="auto"/>
          <w:sz w:val="32"/>
        </w:rPr>
        <w:t>附录A为电子玩具适配评估记录表，附录B为8项痴呆评定问卷（AD-8），附录C为蒙特利尔认知评估量表（MoCA），附录D为临床痴呆评定量表（CDR），附录E为日常生活能力评估（Barthel指数评分表），附录F为功能独立性评定量表（FIM），附录G为Lawton工具性日常生活活动量表（IADL），附录H为功能活动问卷（FAQ），附录I为神经精神问卷（NPI），附录J为汉密尔顿焦虑量表（HAMA），附录K为汉密尔顿抑郁量表（HAMD）。原附录B（分级适配示例）、附录C（安全使用检查清单）根据初审会意见删除，后续附录依次重新编号。</w:t>
      </w:r>
    </w:p>
    <w:p w14:paraId="231DCE67">
      <w:pPr>
        <w:ind w:firstLine="640"/>
        <w:rPr>
          <w:color w:val="auto"/>
        </w:rPr>
      </w:pPr>
      <w:r>
        <w:rPr>
          <w:rFonts w:hint="eastAsia" w:ascii="黑体" w:hAnsi="黑体" w:eastAsia="黑体"/>
          <w:b w:val="0"/>
          <w:i w:val="0"/>
          <w:color w:val="auto"/>
          <w:sz w:val="32"/>
          <w:lang w:val="en-US" w:eastAsia="zh-CN"/>
        </w:rPr>
        <w:t>六、</w:t>
      </w:r>
      <w:r>
        <w:rPr>
          <w:rFonts w:ascii="黑体" w:hAnsi="黑体" w:eastAsia="黑体"/>
          <w:b w:val="0"/>
          <w:i w:val="0"/>
          <w:color w:val="auto"/>
          <w:sz w:val="32"/>
        </w:rPr>
        <w:t xml:space="preserve"> 重大意见分歧的处理依据和结果。</w:t>
      </w:r>
    </w:p>
    <w:p w14:paraId="32E9254D">
      <w:pPr>
        <w:ind w:firstLine="640"/>
        <w:rPr>
          <w:color w:val="auto"/>
        </w:rPr>
      </w:pPr>
      <w:r>
        <w:rPr>
          <w:rFonts w:ascii="仿宋_GB2312" w:hAnsi="仿宋_GB2312" w:eastAsia="仿宋_GB2312"/>
          <w:b w:val="0"/>
          <w:i w:val="0"/>
          <w:color w:val="auto"/>
          <w:sz w:val="32"/>
        </w:rPr>
        <w:t>本标准在起草过程中，面向康复医学专家、老年医学专家、标准化专家、养老机构管理人员、照护者代表等进行了调研和广泛征求意见。主要意见分歧及处理如下：</w:t>
      </w:r>
    </w:p>
    <w:p w14:paraId="7BB5B036">
      <w:pPr>
        <w:ind w:firstLine="640"/>
        <w:rPr>
          <w:color w:val="auto"/>
        </w:rPr>
      </w:pPr>
      <w:r>
        <w:rPr>
          <w:rFonts w:ascii="仿宋_GB2312" w:hAnsi="仿宋_GB2312" w:eastAsia="仿宋_GB2312"/>
          <w:b/>
          <w:i w:val="0"/>
          <w:color w:val="auto"/>
          <w:sz w:val="32"/>
        </w:rPr>
        <w:t>（1）关于电子玩具是否纳入医疗器械管理</w:t>
      </w:r>
    </w:p>
    <w:p w14:paraId="45B59629">
      <w:pPr>
        <w:ind w:firstLine="640"/>
        <w:rPr>
          <w:color w:val="auto"/>
        </w:rPr>
      </w:pPr>
      <w:r>
        <w:rPr>
          <w:rFonts w:ascii="仿宋_GB2312" w:hAnsi="仿宋_GB2312" w:eastAsia="仿宋_GB2312"/>
          <w:b w:val="0"/>
          <w:i w:val="0"/>
          <w:color w:val="auto"/>
          <w:sz w:val="32"/>
        </w:rPr>
        <w:t>部分专家提出电子玩具与认知康复训练设备界限模糊，建议明确是否按医疗器械管理。经研究，本标准明确界定的电子玩具为非医疗器械类产品，主要用于认知训练、感官刺激、情绪调节或社会交往，不涉及疾病诊断、治疗功能。若产品预期用于脑卒中等器质性病变引起的轻度认知障碍康复训练且按医疗器械管理，则应遵循国家药监局《康复类数字疗法软件产品注册审查指导原则》的相关要求。</w:t>
      </w:r>
    </w:p>
    <w:p w14:paraId="527CCBD2">
      <w:pPr>
        <w:ind w:firstLine="640"/>
        <w:rPr>
          <w:color w:val="auto"/>
        </w:rPr>
      </w:pPr>
      <w:r>
        <w:rPr>
          <w:rFonts w:ascii="仿宋_GB2312" w:hAnsi="仿宋_GB2312" w:eastAsia="仿宋_GB2312"/>
          <w:b/>
          <w:i w:val="0"/>
          <w:color w:val="auto"/>
          <w:sz w:val="32"/>
        </w:rPr>
        <w:t>（2）关于认知障碍分级工具的选择</w:t>
      </w:r>
    </w:p>
    <w:p w14:paraId="5052F5C3">
      <w:pPr>
        <w:ind w:firstLine="640"/>
        <w:rPr>
          <w:color w:val="auto"/>
        </w:rPr>
      </w:pPr>
      <w:r>
        <w:rPr>
          <w:rFonts w:ascii="仿宋_GB2312" w:hAnsi="仿宋_GB2312" w:eastAsia="仿宋_GB2312"/>
          <w:b w:val="0"/>
          <w:i w:val="0"/>
          <w:color w:val="auto"/>
          <w:sz w:val="32"/>
        </w:rPr>
        <w:t>有意见认为应增加更详细的神经心理评估工具。经讨论，考虑到标准适用场景包括社区、养老机构等基层环境，评估工具应兼顾专业性和可操作性，最终确定以AD</w:t>
      </w:r>
      <w:r>
        <w:rPr>
          <w:rFonts w:hint="eastAsia" w:ascii="仿宋_GB2312" w:hAnsi="仿宋_GB2312" w:eastAsia="仿宋_GB2312"/>
          <w:b w:val="0"/>
          <w:i w:val="0"/>
          <w:color w:val="auto"/>
          <w:sz w:val="32"/>
          <w:lang w:eastAsia="zh-CN"/>
        </w:rPr>
        <w:t>-</w:t>
      </w:r>
      <w:r>
        <w:rPr>
          <w:rFonts w:ascii="仿宋_GB2312" w:hAnsi="仿宋_GB2312" w:eastAsia="仿宋_GB2312"/>
          <w:b w:val="0"/>
          <w:i w:val="0"/>
          <w:color w:val="auto"/>
          <w:sz w:val="32"/>
        </w:rPr>
        <w:t>8快速筛查+MoCA+Barthel指数的</w:t>
      </w:r>
      <w:r>
        <w:rPr>
          <w:rFonts w:hint="eastAsia" w:ascii="仿宋_GB2312" w:hAnsi="仿宋_GB2312" w:eastAsia="仿宋_GB2312"/>
          <w:b w:val="0"/>
          <w:i w:val="0"/>
          <w:color w:val="auto"/>
          <w:sz w:val="32"/>
          <w:lang w:val="en-US" w:eastAsia="zh-CN"/>
        </w:rPr>
        <w:t>基础</w:t>
      </w:r>
      <w:r>
        <w:rPr>
          <w:rFonts w:ascii="仿宋_GB2312" w:hAnsi="仿宋_GB2312" w:eastAsia="仿宋_GB2312"/>
          <w:b w:val="0"/>
          <w:i w:val="0"/>
          <w:color w:val="auto"/>
          <w:sz w:val="32"/>
        </w:rPr>
        <w:t>组合方式，既保证评估科学性，又便于基层人员操作。</w:t>
      </w:r>
    </w:p>
    <w:p w14:paraId="62859040">
      <w:pPr>
        <w:ind w:firstLine="640"/>
        <w:rPr>
          <w:color w:val="auto"/>
        </w:rPr>
      </w:pPr>
      <w:r>
        <w:rPr>
          <w:rFonts w:ascii="仿宋_GB2312" w:hAnsi="仿宋_GB2312" w:eastAsia="仿宋_GB2312"/>
          <w:b/>
          <w:i w:val="0"/>
          <w:color w:val="auto"/>
          <w:sz w:val="32"/>
        </w:rPr>
        <w:t>（3）关于重度痴呆人群是否可使用B级产品</w:t>
      </w:r>
    </w:p>
    <w:p w14:paraId="290A53EE">
      <w:pPr>
        <w:ind w:firstLine="640"/>
        <w:rPr>
          <w:color w:val="auto"/>
        </w:rPr>
      </w:pPr>
      <w:r>
        <w:rPr>
          <w:rFonts w:ascii="仿宋_GB2312" w:hAnsi="仿宋_GB2312" w:eastAsia="仿宋_GB2312"/>
          <w:b w:val="0"/>
          <w:i w:val="0"/>
          <w:color w:val="auto"/>
          <w:sz w:val="32"/>
        </w:rPr>
        <w:t>部分专家认为重度痴呆人群应完全禁用B级产品。经专家论证和试配验证，认为在简化操作、完全辅助的前提下，重度痴呆人群可谨慎使用B级产品的简化版本，以维持一定的互动参与。本文件在7.2和7.4中对此作出明确规定。</w:t>
      </w:r>
    </w:p>
    <w:p w14:paraId="447AD8EF">
      <w:pPr>
        <w:ind w:firstLine="640"/>
        <w:rPr>
          <w:color w:val="auto"/>
        </w:rPr>
      </w:pPr>
      <w:r>
        <w:rPr>
          <w:rFonts w:ascii="仿宋_GB2312" w:hAnsi="仿宋_GB2312" w:eastAsia="仿宋_GB2312"/>
          <w:b/>
          <w:i w:val="0"/>
          <w:color w:val="auto"/>
          <w:sz w:val="32"/>
        </w:rPr>
        <w:t>处理结果：以上分歧均通过专家论证会讨论达成共识，无重大意见分歧。</w:t>
      </w:r>
    </w:p>
    <w:p w14:paraId="0F422752">
      <w:pPr>
        <w:ind w:firstLine="640"/>
        <w:rPr>
          <w:color w:val="auto"/>
        </w:rPr>
      </w:pPr>
      <w:r>
        <w:rPr>
          <w:rFonts w:ascii="仿宋_GB2312" w:hAnsi="仿宋_GB2312" w:eastAsia="仿宋_GB2312"/>
          <w:b/>
          <w:i w:val="0"/>
          <w:color w:val="auto"/>
          <w:sz w:val="32"/>
        </w:rPr>
        <w:t>2026年9月初审会共收到5位专家提出的47条意见，起草组已逐条研究处理并形成《意见汇总处理表（初审会）》：涉及文本表述、格式规范、章节结构、附录设置的意见已采纳或部分采纳并修改到位；涉及标准名称变更、框架重大调整的意见将提交起草组会议进一步论证。初审会意见处理未产生重大意见分歧。</w:t>
      </w:r>
    </w:p>
    <w:p w14:paraId="6508E101">
      <w:pPr>
        <w:ind w:firstLine="640"/>
        <w:rPr>
          <w:color w:val="auto"/>
        </w:rPr>
      </w:pPr>
      <w:r>
        <w:rPr>
          <w:rFonts w:hint="eastAsia" w:ascii="黑体" w:hAnsi="黑体" w:eastAsia="黑体"/>
          <w:b w:val="0"/>
          <w:i w:val="0"/>
          <w:color w:val="auto"/>
          <w:sz w:val="32"/>
          <w:lang w:val="en-US" w:eastAsia="zh-CN"/>
        </w:rPr>
        <w:t>七、</w:t>
      </w:r>
      <w:r>
        <w:rPr>
          <w:rFonts w:ascii="黑体" w:hAnsi="黑体" w:eastAsia="黑体"/>
          <w:b w:val="0"/>
          <w:i w:val="0"/>
          <w:color w:val="auto"/>
          <w:sz w:val="32"/>
        </w:rPr>
        <w:t xml:space="preserve"> 与国内外同类标准水平的对比情况。</w:t>
      </w:r>
    </w:p>
    <w:p w14:paraId="00AB0DFB">
      <w:pPr>
        <w:ind w:firstLine="640"/>
        <w:rPr>
          <w:color w:val="auto"/>
        </w:rPr>
      </w:pPr>
      <w:r>
        <w:rPr>
          <w:rFonts w:ascii="仿宋_GB2312" w:hAnsi="仿宋_GB2312" w:eastAsia="仿宋_GB2312"/>
          <w:b/>
          <w:i w:val="0"/>
          <w:color w:val="auto"/>
          <w:sz w:val="32"/>
        </w:rPr>
        <w:t>（1）国内情况</w:t>
      </w:r>
    </w:p>
    <w:p w14:paraId="153050B1">
      <w:pPr>
        <w:ind w:firstLine="640"/>
        <w:rPr>
          <w:color w:val="auto"/>
        </w:rPr>
      </w:pPr>
      <w:r>
        <w:rPr>
          <w:rFonts w:ascii="仿宋_GB2312" w:hAnsi="仿宋_GB2312" w:eastAsia="仿宋_GB2312"/>
          <w:b w:val="0"/>
          <w:i w:val="0"/>
          <w:color w:val="auto"/>
          <w:sz w:val="32"/>
        </w:rPr>
        <w:t>目前国内已有GB/Z 40847</w:t>
      </w:r>
      <w:r>
        <w:rPr>
          <w:rFonts w:hint="eastAsia" w:ascii="仿宋_GB2312" w:hAnsi="仿宋_GB2312" w:eastAsia="仿宋_GB2312"/>
          <w:b w:val="0"/>
          <w:i w:val="0"/>
          <w:color w:val="auto"/>
          <w:sz w:val="32"/>
          <w:lang w:eastAsia="zh-CN"/>
        </w:rPr>
        <w:t>-</w:t>
      </w:r>
      <w:r>
        <w:rPr>
          <w:rFonts w:ascii="仿宋_GB2312" w:hAnsi="仿宋_GB2312" w:eastAsia="仿宋_GB2312"/>
          <w:b w:val="0"/>
          <w:i w:val="0"/>
          <w:color w:val="auto"/>
          <w:sz w:val="32"/>
        </w:rPr>
        <w:t>2021《认知康复训练系统通用技术条件》、GB/T 42818.1</w:t>
      </w:r>
      <w:r>
        <w:rPr>
          <w:rFonts w:hint="eastAsia" w:ascii="仿宋_GB2312" w:hAnsi="仿宋_GB2312" w:eastAsia="仿宋_GB2312"/>
          <w:b w:val="0"/>
          <w:i w:val="0"/>
          <w:color w:val="auto"/>
          <w:sz w:val="32"/>
          <w:lang w:eastAsia="zh-CN"/>
        </w:rPr>
        <w:t>-</w:t>
      </w:r>
      <w:r>
        <w:rPr>
          <w:rFonts w:ascii="仿宋_GB2312" w:hAnsi="仿宋_GB2312" w:eastAsia="仿宋_GB2312"/>
          <w:b w:val="0"/>
          <w:i w:val="0"/>
          <w:color w:val="auto"/>
          <w:sz w:val="32"/>
        </w:rPr>
        <w:t>2023《认知无障碍 第1部分：一般指南》、DB44/T 2232</w:t>
      </w:r>
      <w:r>
        <w:rPr>
          <w:rFonts w:hint="eastAsia" w:ascii="仿宋_GB2312" w:hAnsi="仿宋_GB2312" w:eastAsia="仿宋_GB2312"/>
          <w:b w:val="0"/>
          <w:i w:val="0"/>
          <w:color w:val="auto"/>
          <w:sz w:val="32"/>
          <w:lang w:eastAsia="zh-CN"/>
        </w:rPr>
        <w:t>-</w:t>
      </w:r>
      <w:r>
        <w:rPr>
          <w:rFonts w:ascii="仿宋_GB2312" w:hAnsi="仿宋_GB2312" w:eastAsia="仿宋_GB2312"/>
          <w:b w:val="0"/>
          <w:i w:val="0"/>
          <w:color w:val="auto"/>
          <w:sz w:val="32"/>
        </w:rPr>
        <w:t>2020《养老机构认知症老人照顾指南》、DB32/T 4457</w:t>
      </w:r>
      <w:r>
        <w:rPr>
          <w:rFonts w:hint="eastAsia" w:ascii="仿宋_GB2312" w:hAnsi="仿宋_GB2312" w:eastAsia="仿宋_GB2312"/>
          <w:b w:val="0"/>
          <w:i w:val="0"/>
          <w:color w:val="auto"/>
          <w:sz w:val="32"/>
          <w:lang w:eastAsia="zh-CN"/>
        </w:rPr>
        <w:t>-</w:t>
      </w:r>
      <w:r>
        <w:rPr>
          <w:rFonts w:ascii="仿宋_GB2312" w:hAnsi="仿宋_GB2312" w:eastAsia="仿宋_GB2312"/>
          <w:b w:val="0"/>
          <w:i w:val="0"/>
          <w:color w:val="auto"/>
          <w:sz w:val="32"/>
        </w:rPr>
        <w:t>2023《养老机构认知障碍照护专区设置与服务规范》等相关标准。</w:t>
      </w:r>
    </w:p>
    <w:p w14:paraId="0C9D8626">
      <w:pPr>
        <w:ind w:firstLine="640"/>
        <w:rPr>
          <w:color w:val="auto"/>
        </w:rPr>
      </w:pPr>
      <w:r>
        <w:rPr>
          <w:rFonts w:ascii="仿宋_GB2312" w:hAnsi="仿宋_GB2312" w:eastAsia="仿宋_GB2312"/>
          <w:b/>
          <w:i w:val="0"/>
          <w:color w:val="auto"/>
          <w:sz w:val="32"/>
        </w:rPr>
        <w:t>（2）国外情况</w:t>
      </w:r>
    </w:p>
    <w:p w14:paraId="3C8A2E7B">
      <w:pPr>
        <w:ind w:firstLine="640"/>
        <w:rPr>
          <w:color w:val="auto"/>
        </w:rPr>
      </w:pPr>
      <w:r>
        <w:rPr>
          <w:rFonts w:ascii="仿宋_GB2312" w:hAnsi="仿宋_GB2312" w:eastAsia="仿宋_GB2312"/>
          <w:b w:val="0"/>
          <w:i w:val="0"/>
          <w:color w:val="auto"/>
          <w:sz w:val="32"/>
        </w:rPr>
        <w:t>国外仅有ISO 25552</w:t>
      </w:r>
      <w:r>
        <w:rPr>
          <w:rFonts w:hint="eastAsia" w:ascii="仿宋_GB2312" w:hAnsi="仿宋_GB2312" w:eastAsia="仿宋_GB2312"/>
          <w:b w:val="0"/>
          <w:i w:val="0"/>
          <w:color w:val="auto"/>
          <w:sz w:val="32"/>
          <w:lang w:eastAsia="zh-CN"/>
        </w:rPr>
        <w:t>-</w:t>
      </w:r>
      <w:r>
        <w:rPr>
          <w:rFonts w:ascii="仿宋_GB2312" w:hAnsi="仿宋_GB2312" w:eastAsia="仿宋_GB2312"/>
          <w:b w:val="0"/>
          <w:i w:val="0"/>
          <w:color w:val="auto"/>
          <w:sz w:val="32"/>
        </w:rPr>
        <w:t>2022《老龄化社会认知症包容性社群框架》一项相关标准，以及ISO 9999:2022《Technical aids for persons with disability — Classification and terminology》中关于辅助器具分类的通用要求。</w:t>
      </w:r>
    </w:p>
    <w:p w14:paraId="4D2C0C8C">
      <w:pPr>
        <w:ind w:firstLine="640"/>
        <w:rPr>
          <w:color w:val="auto"/>
        </w:rPr>
      </w:pPr>
      <w:r>
        <w:rPr>
          <w:rFonts w:ascii="仿宋_GB2312" w:hAnsi="仿宋_GB2312" w:eastAsia="仿宋_GB2312"/>
          <w:b/>
          <w:i w:val="0"/>
          <w:color w:val="auto"/>
          <w:sz w:val="32"/>
        </w:rPr>
        <w:t>（3）本标准的先进性和创新性</w:t>
      </w:r>
    </w:p>
    <w:p w14:paraId="1C9B6E48">
      <w:pPr>
        <w:ind w:firstLine="640"/>
        <w:rPr>
          <w:color w:val="auto"/>
        </w:rPr>
      </w:pPr>
      <w:r>
        <w:rPr>
          <w:rFonts w:ascii="仿宋_GB2312" w:hAnsi="仿宋_GB2312" w:eastAsia="仿宋_GB2312"/>
          <w:b w:val="0"/>
          <w:i w:val="0"/>
          <w:color w:val="auto"/>
          <w:sz w:val="32"/>
        </w:rPr>
        <w:t>a）填补空白：本标准是国内首个针对认知障碍人群电子玩具分级适配的团体标准，填补了该领域标准空白；</w:t>
      </w:r>
    </w:p>
    <w:p w14:paraId="662AF6F4">
      <w:pPr>
        <w:ind w:firstLine="640"/>
        <w:rPr>
          <w:color w:val="auto"/>
        </w:rPr>
      </w:pPr>
      <w:r>
        <w:rPr>
          <w:rFonts w:ascii="仿宋_GB2312" w:hAnsi="仿宋_GB2312" w:eastAsia="仿宋_GB2312"/>
          <w:b w:val="0"/>
          <w:i w:val="0"/>
          <w:color w:val="auto"/>
          <w:sz w:val="32"/>
        </w:rPr>
        <w:t>b）分级适配体系创新：建立了认知障碍四级分级与电子玩具四级分级的适配矩阵，实现了从"产品供给"到"精准适配"的转变；</w:t>
      </w:r>
    </w:p>
    <w:p w14:paraId="22C814A8">
      <w:pPr>
        <w:ind w:firstLine="640"/>
        <w:rPr>
          <w:color w:val="auto"/>
        </w:rPr>
      </w:pPr>
      <w:r>
        <w:rPr>
          <w:rFonts w:ascii="仿宋_GB2312" w:hAnsi="仿宋_GB2312" w:eastAsia="仿宋_GB2312"/>
          <w:b w:val="0"/>
          <w:i w:val="0"/>
          <w:color w:val="auto"/>
          <w:sz w:val="32"/>
        </w:rPr>
        <w:t>c）全链条覆盖：涵盖评估、分级、适配、设计、验证、管理全链条，形成闭环管理；</w:t>
      </w:r>
    </w:p>
    <w:p w14:paraId="64A86505">
      <w:pPr>
        <w:ind w:firstLine="640"/>
        <w:rPr>
          <w:color w:val="auto"/>
        </w:rPr>
      </w:pPr>
      <w:r>
        <w:rPr>
          <w:rFonts w:ascii="仿宋_GB2312" w:hAnsi="仿宋_GB2312" w:eastAsia="仿宋_GB2312"/>
          <w:b w:val="0"/>
          <w:i w:val="0"/>
          <w:color w:val="auto"/>
          <w:sz w:val="32"/>
        </w:rPr>
        <w:t>d）可操作性强：附录提供评估记录表、适配示例、安全检查清单和Barthel指数</w:t>
      </w:r>
      <w:r>
        <w:rPr>
          <w:rFonts w:hint="eastAsia" w:ascii="仿宋_GB2312" w:hAnsi="仿宋_GB2312" w:eastAsia="仿宋_GB2312"/>
          <w:b w:val="0"/>
          <w:i w:val="0"/>
          <w:color w:val="auto"/>
          <w:sz w:val="32"/>
          <w:lang w:val="en-US" w:eastAsia="zh-CN"/>
        </w:rPr>
        <w:t>等</w:t>
      </w:r>
      <w:r>
        <w:rPr>
          <w:rFonts w:ascii="仿宋_GB2312" w:hAnsi="仿宋_GB2312" w:eastAsia="仿宋_GB2312"/>
          <w:b w:val="0"/>
          <w:i w:val="0"/>
          <w:color w:val="auto"/>
          <w:sz w:val="32"/>
        </w:rPr>
        <w:t>评分表，便于实际应用。</w:t>
      </w:r>
    </w:p>
    <w:p w14:paraId="4C99EFBD">
      <w:pPr>
        <w:ind w:firstLine="640"/>
        <w:rPr>
          <w:color w:val="auto"/>
        </w:rPr>
      </w:pPr>
      <w:r>
        <w:rPr>
          <w:rFonts w:hint="eastAsia" w:ascii="黑体" w:hAnsi="黑体" w:eastAsia="黑体"/>
          <w:b w:val="0"/>
          <w:i w:val="0"/>
          <w:color w:val="auto"/>
          <w:sz w:val="32"/>
          <w:lang w:val="en-US" w:eastAsia="zh-CN"/>
        </w:rPr>
        <w:t>八、</w:t>
      </w:r>
      <w:r>
        <w:rPr>
          <w:rFonts w:ascii="黑体" w:hAnsi="黑体" w:eastAsia="黑体"/>
          <w:b w:val="0"/>
          <w:i w:val="0"/>
          <w:color w:val="auto"/>
          <w:sz w:val="32"/>
        </w:rPr>
        <w:t xml:space="preserve"> 实施标准的措施(政策措施/宣贯培训/试点示范/监督检查/配套资金等)。</w:t>
      </w:r>
    </w:p>
    <w:p w14:paraId="48F5DFAA">
      <w:pPr>
        <w:ind w:firstLine="640"/>
        <w:rPr>
          <w:color w:val="auto"/>
        </w:rPr>
      </w:pPr>
      <w:r>
        <w:rPr>
          <w:rFonts w:ascii="仿宋_GB2312" w:hAnsi="仿宋_GB2312" w:eastAsia="仿宋_GB2312"/>
          <w:b/>
          <w:i w:val="0"/>
          <w:color w:val="auto"/>
          <w:sz w:val="32"/>
        </w:rPr>
        <w:t>（1）政策措施</w:t>
      </w:r>
    </w:p>
    <w:p w14:paraId="1A4E92E6">
      <w:pPr>
        <w:ind w:firstLine="640"/>
        <w:rPr>
          <w:color w:val="auto"/>
        </w:rPr>
      </w:pPr>
      <w:r>
        <w:rPr>
          <w:rFonts w:ascii="仿宋_GB2312" w:hAnsi="仿宋_GB2312" w:eastAsia="仿宋_GB2312"/>
          <w:b w:val="0"/>
          <w:i w:val="0"/>
          <w:color w:val="auto"/>
          <w:sz w:val="32"/>
        </w:rPr>
        <w:t>建议将本标准纳入《老年用品产业标准体系建设指南》和养老服务标准体系，推动与GB/Z 40847</w:t>
      </w:r>
      <w:r>
        <w:rPr>
          <w:rFonts w:hint="eastAsia" w:ascii="仿宋_GB2312" w:hAnsi="仿宋_GB2312" w:eastAsia="仿宋_GB2312"/>
          <w:b w:val="0"/>
          <w:i w:val="0"/>
          <w:color w:val="auto"/>
          <w:sz w:val="32"/>
          <w:lang w:eastAsia="zh-CN"/>
        </w:rPr>
        <w:t>-</w:t>
      </w:r>
      <w:r>
        <w:rPr>
          <w:rFonts w:ascii="仿宋_GB2312" w:hAnsi="仿宋_GB2312" w:eastAsia="仿宋_GB2312"/>
          <w:b w:val="0"/>
          <w:i w:val="0"/>
          <w:color w:val="auto"/>
          <w:sz w:val="32"/>
        </w:rPr>
        <w:t>2021等国家标准协调配套。鼓励各地民政部门、卫生健康部门在认知障碍社区照护、养老机构服务中引用本标准。</w:t>
      </w:r>
    </w:p>
    <w:p w14:paraId="635FBB4F">
      <w:pPr>
        <w:ind w:firstLine="640"/>
        <w:rPr>
          <w:color w:val="auto"/>
        </w:rPr>
      </w:pPr>
      <w:r>
        <w:rPr>
          <w:rFonts w:ascii="仿宋_GB2312" w:hAnsi="仿宋_GB2312" w:eastAsia="仿宋_GB2312"/>
          <w:b/>
          <w:i w:val="0"/>
          <w:color w:val="auto"/>
          <w:sz w:val="32"/>
        </w:rPr>
        <w:t>（2）宣贯培训</w:t>
      </w:r>
    </w:p>
    <w:p w14:paraId="3396707C">
      <w:pPr>
        <w:ind w:firstLine="640"/>
        <w:rPr>
          <w:color w:val="auto"/>
        </w:rPr>
      </w:pPr>
      <w:r>
        <w:rPr>
          <w:rFonts w:ascii="仿宋_GB2312" w:hAnsi="仿宋_GB2312" w:eastAsia="仿宋_GB2312"/>
          <w:b w:val="0"/>
          <w:i w:val="0"/>
          <w:color w:val="auto"/>
          <w:sz w:val="32"/>
        </w:rPr>
        <w:t>由北京标准化协会牵头，组织标准起草单位开展标准宣贯培训，培训对象包括：电子玩具生产企业研发人员、养老机构管理人员、社区康复人员、照护者等。计划开展线上线下培训不少于5场次，覆盖不少于500人次。</w:t>
      </w:r>
    </w:p>
    <w:p w14:paraId="083CAE78">
      <w:pPr>
        <w:ind w:firstLine="640"/>
        <w:rPr>
          <w:color w:val="auto"/>
        </w:rPr>
      </w:pPr>
      <w:r>
        <w:rPr>
          <w:rFonts w:ascii="仿宋_GB2312" w:hAnsi="仿宋_GB2312" w:eastAsia="仿宋_GB2312"/>
          <w:b/>
          <w:i w:val="0"/>
          <w:color w:val="auto"/>
          <w:sz w:val="32"/>
        </w:rPr>
        <w:t>（3）试点示范</w:t>
      </w:r>
    </w:p>
    <w:p w14:paraId="27E44F7D">
      <w:pPr>
        <w:ind w:firstLine="640"/>
        <w:rPr>
          <w:color w:val="auto"/>
        </w:rPr>
      </w:pPr>
      <w:r>
        <w:rPr>
          <w:rFonts w:ascii="仿宋_GB2312" w:hAnsi="仿宋_GB2312" w:eastAsia="仿宋_GB2312"/>
          <w:b w:val="0"/>
          <w:i w:val="0"/>
          <w:color w:val="auto"/>
          <w:sz w:val="32"/>
        </w:rPr>
        <w:t>选择2</w:t>
      </w:r>
      <w:r>
        <w:rPr>
          <w:rFonts w:hint="eastAsia" w:ascii="仿宋_GB2312" w:hAnsi="仿宋_GB2312" w:eastAsia="仿宋_GB2312"/>
          <w:b w:val="0"/>
          <w:i w:val="0"/>
          <w:color w:val="auto"/>
          <w:sz w:val="32"/>
          <w:lang w:eastAsia="zh-CN"/>
        </w:rPr>
        <w:t>～</w:t>
      </w:r>
      <w:r>
        <w:rPr>
          <w:rFonts w:ascii="仿宋_GB2312" w:hAnsi="仿宋_GB2312" w:eastAsia="仿宋_GB2312"/>
          <w:b w:val="0"/>
          <w:i w:val="0"/>
          <w:color w:val="auto"/>
          <w:sz w:val="32"/>
        </w:rPr>
        <w:t>3家养老机构和1</w:t>
      </w:r>
      <w:r>
        <w:rPr>
          <w:rFonts w:hint="eastAsia" w:ascii="仿宋_GB2312" w:hAnsi="仿宋_GB2312" w:eastAsia="仿宋_GB2312"/>
          <w:b w:val="0"/>
          <w:i w:val="0"/>
          <w:color w:val="auto"/>
          <w:sz w:val="32"/>
          <w:lang w:eastAsia="zh-CN"/>
        </w:rPr>
        <w:t>～</w:t>
      </w:r>
      <w:r>
        <w:rPr>
          <w:rFonts w:ascii="仿宋_GB2312" w:hAnsi="仿宋_GB2312" w:eastAsia="仿宋_GB2312"/>
          <w:b w:val="0"/>
          <w:i w:val="0"/>
          <w:color w:val="auto"/>
          <w:sz w:val="32"/>
        </w:rPr>
        <w:t>2个社区开展标准试点应用，建立电子玩具分级适配示范站点，积累应用经验，形成典型案例。</w:t>
      </w:r>
    </w:p>
    <w:p w14:paraId="2DD52BE6">
      <w:pPr>
        <w:ind w:firstLine="640"/>
        <w:rPr>
          <w:color w:val="auto"/>
        </w:rPr>
      </w:pPr>
      <w:r>
        <w:rPr>
          <w:rFonts w:ascii="仿宋_GB2312" w:hAnsi="仿宋_GB2312" w:eastAsia="仿宋_GB2312"/>
          <w:b/>
          <w:i w:val="0"/>
          <w:color w:val="auto"/>
          <w:sz w:val="32"/>
        </w:rPr>
        <w:t>（4）监督检查</w:t>
      </w:r>
    </w:p>
    <w:p w14:paraId="5F6A5B48">
      <w:pPr>
        <w:ind w:firstLine="640"/>
        <w:rPr>
          <w:color w:val="auto"/>
        </w:rPr>
      </w:pPr>
      <w:r>
        <w:rPr>
          <w:rFonts w:ascii="仿宋_GB2312" w:hAnsi="仿宋_GB2312" w:eastAsia="仿宋_GB2312"/>
          <w:b w:val="0"/>
          <w:i w:val="0"/>
          <w:color w:val="auto"/>
          <w:sz w:val="32"/>
        </w:rPr>
        <w:t>建议北京标准化协会定期对标准实施情况进行跟踪评估，收集实施反馈，适时开展标准复审。鼓励第三方认证机构依据本标准开展电子玩具适老化认证。</w:t>
      </w:r>
    </w:p>
    <w:p w14:paraId="3D0C15FA">
      <w:pPr>
        <w:ind w:firstLine="640"/>
        <w:rPr>
          <w:color w:val="auto"/>
        </w:rPr>
      </w:pPr>
      <w:r>
        <w:rPr>
          <w:rFonts w:ascii="仿宋_GB2312" w:hAnsi="仿宋_GB2312" w:eastAsia="仿宋_GB2312"/>
          <w:b/>
          <w:i w:val="0"/>
          <w:color w:val="auto"/>
          <w:sz w:val="32"/>
        </w:rPr>
        <w:t>（5）配套资金</w:t>
      </w:r>
    </w:p>
    <w:p w14:paraId="6A741FE2">
      <w:pPr>
        <w:ind w:firstLine="640"/>
        <w:rPr>
          <w:color w:val="auto"/>
        </w:rPr>
      </w:pPr>
      <w:r>
        <w:rPr>
          <w:rFonts w:ascii="仿宋_GB2312" w:hAnsi="仿宋_GB2312" w:eastAsia="仿宋_GB2312"/>
          <w:b w:val="0"/>
          <w:i w:val="0"/>
          <w:color w:val="auto"/>
          <w:sz w:val="32"/>
        </w:rPr>
        <w:t>建议标准起草单位申请相关科研项目和产业扶持资金，支持标准宣贯、试点示范及后续修订工作。</w:t>
      </w:r>
    </w:p>
    <w:p w14:paraId="6F9E8C33">
      <w:pPr>
        <w:ind w:firstLine="640"/>
        <w:rPr>
          <w:color w:val="auto"/>
        </w:rPr>
      </w:pPr>
      <w:r>
        <w:rPr>
          <w:rFonts w:hint="eastAsia" w:ascii="黑体" w:hAnsi="黑体" w:eastAsia="黑体"/>
          <w:b w:val="0"/>
          <w:i w:val="0"/>
          <w:color w:val="auto"/>
          <w:sz w:val="32"/>
          <w:lang w:val="en-US" w:eastAsia="zh-CN"/>
        </w:rPr>
        <w:t>九、</w:t>
      </w:r>
      <w:r>
        <w:rPr>
          <w:rFonts w:ascii="黑体" w:hAnsi="黑体" w:eastAsia="黑体"/>
          <w:b w:val="0"/>
          <w:i w:val="0"/>
          <w:color w:val="auto"/>
          <w:sz w:val="32"/>
        </w:rPr>
        <w:t xml:space="preserve"> 其他应说明的事项。</w:t>
      </w:r>
    </w:p>
    <w:p w14:paraId="7D8D0A0F">
      <w:pPr>
        <w:ind w:firstLine="640"/>
        <w:rPr>
          <w:color w:val="auto"/>
        </w:rPr>
      </w:pPr>
      <w:r>
        <w:rPr>
          <w:rFonts w:ascii="仿宋_GB2312" w:hAnsi="仿宋_GB2312" w:eastAsia="仿宋_GB2312"/>
          <w:b w:val="0"/>
          <w:i w:val="0"/>
          <w:color w:val="auto"/>
          <w:sz w:val="32"/>
        </w:rPr>
        <w:t>（1）本标准不涉及专利、商标等知识产权问题。</w:t>
      </w:r>
    </w:p>
    <w:p w14:paraId="584597E5">
      <w:pPr>
        <w:ind w:firstLine="640"/>
        <w:rPr>
          <w:color w:val="auto"/>
        </w:rPr>
      </w:pPr>
      <w:r>
        <w:rPr>
          <w:rFonts w:ascii="仿宋_GB2312" w:hAnsi="仿宋_GB2312" w:eastAsia="仿宋_GB2312"/>
          <w:b w:val="0"/>
          <w:i w:val="0"/>
          <w:color w:val="auto"/>
          <w:sz w:val="32"/>
        </w:rPr>
        <w:t>（2）本标准中引用的规范性文件，其最新版本（包括所有的修改单）适用于本文件。</w:t>
      </w:r>
    </w:p>
    <w:p w14:paraId="054890D5">
      <w:pPr>
        <w:ind w:firstLine="640"/>
        <w:rPr>
          <w:color w:val="auto"/>
        </w:rPr>
      </w:pPr>
      <w:r>
        <w:rPr>
          <w:rFonts w:ascii="仿宋_GB2312" w:hAnsi="仿宋_GB2312" w:eastAsia="仿宋_GB2312"/>
          <w:b w:val="0"/>
          <w:i w:val="0"/>
          <w:color w:val="auto"/>
          <w:sz w:val="32"/>
        </w:rPr>
        <w:t>（3）本标准中的"电子玩具"特指非医疗器械类产品，若产品属于医疗器械管理范畴，应符合国家药监局相关规定。</w:t>
      </w:r>
    </w:p>
    <w:p w14:paraId="6EFD631B">
      <w:pPr>
        <w:spacing w:after="60" w:line="360" w:lineRule="auto"/>
        <w:ind w:firstLine="480"/>
      </w:pPr>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Euphorigenic"/>
    <w:panose1 w:val="00000000000000000000"/>
    <w:charset w:val="00"/>
    <w:family w:val="auto"/>
    <w:pitch w:val="default"/>
    <w:sig w:usb0="00000000" w:usb1="00000000" w:usb2="00000000" w:usb3="00000000" w:csb0="00000000" w:csb1="00000000"/>
  </w:font>
  <w:font w:name="Euphorigenic">
    <w:panose1 w:val="02000400000000000000"/>
    <w:charset w:val="00"/>
    <w:family w:val="auto"/>
    <w:pitch w:val="default"/>
    <w:sig w:usb0="80000027" w:usb1="0000000A" w:usb2="00000000" w:usb3="00000000" w:csb0="00000001" w:csb1="00000000"/>
  </w:font>
  <w:font w:name="ＭＳ 明朝">
    <w:altName w:val="宋体"/>
    <w:panose1 w:val="00000000000000000000"/>
    <w:charset w:val="86"/>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01617A1"/>
    <w:rsid w:val="1A755AB9"/>
    <w:rsid w:val="2D24069A"/>
    <w:rsid w:val="348A2592"/>
    <w:rsid w:val="389132BF"/>
    <w:rsid w:val="455A1A40"/>
    <w:rsid w:val="4EF42ECA"/>
    <w:rsid w:val="6BCA186A"/>
    <w:rsid w:val="7E4F7D58"/>
  </w:rsids>
  <m:mathPr>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7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86"/>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7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7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70"/>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8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81"/>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80"/>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6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75"/>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79"/>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8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54"/>
    <w:unhideWhenUsed/>
    <w:qFormat/>
    <w:uiPriority w:val="99"/>
    <w:pPr>
      <w:tabs>
        <w:tab w:val="center" w:pos="4680"/>
        <w:tab w:val="right" w:pos="9360"/>
      </w:tabs>
      <w:spacing w:after="0" w:line="240" w:lineRule="auto"/>
    </w:pPr>
  </w:style>
  <w:style w:type="paragraph" w:styleId="25">
    <w:name w:val="header"/>
    <w:basedOn w:val="1"/>
    <w:link w:val="145"/>
    <w:unhideWhenUsed/>
    <w:qFormat/>
    <w:uiPriority w:val="99"/>
    <w:pPr>
      <w:tabs>
        <w:tab w:val="center" w:pos="4680"/>
        <w:tab w:val="right" w:pos="9360"/>
      </w:tabs>
      <w:spacing w:after="0" w:line="240" w:lineRule="auto"/>
    </w:pPr>
  </w:style>
  <w:style w:type="paragraph" w:styleId="26">
    <w:name w:val="Subtitle"/>
    <w:basedOn w:val="1"/>
    <w:next w:val="1"/>
    <w:link w:val="16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7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6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Intense Quote Char"/>
    <w:basedOn w:val="132"/>
    <w:qFormat/>
    <w:uiPriority w:val="30"/>
    <w:rPr>
      <w:b/>
      <w:bCs/>
      <w:i/>
      <w:iCs/>
      <w:color w:val="4F81BD" w:themeColor="accent1"/>
      <w14:textFill>
        <w14:solidFill>
          <w14:schemeClr w14:val="accent1"/>
        </w14:solidFill>
      </w14:textFill>
    </w:rPr>
  </w:style>
  <w:style w:type="paragraph" w:styleId="136">
    <w:name w:val="Intense Quote"/>
    <w:basedOn w:val="1"/>
    <w:next w:val="1"/>
    <w:link w:val="17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37">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38">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39">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0">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141">
    <w:name w:val="Macro Text Char"/>
    <w:basedOn w:val="132"/>
    <w:link w:val="2"/>
    <w:qFormat/>
    <w:uiPriority w:val="99"/>
    <w:rPr>
      <w:rFonts w:ascii="Courier" w:hAnsi="Courier"/>
      <w:sz w:val="20"/>
      <w:szCs w:val="20"/>
    </w:rPr>
  </w:style>
  <w:style w:type="character" w:customStyle="1" w:styleId="142">
    <w:name w:val="Body Text Char"/>
    <w:basedOn w:val="132"/>
    <w:link w:val="19"/>
    <w:qFormat/>
    <w:uiPriority w:val="99"/>
  </w:style>
  <w:style w:type="character" w:customStyle="1" w:styleId="143">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44">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5">
    <w:name w:val="Header Char"/>
    <w:basedOn w:val="132"/>
    <w:link w:val="25"/>
    <w:qFormat/>
    <w:uiPriority w:val="99"/>
  </w:style>
  <w:style w:type="character" w:customStyle="1" w:styleId="146">
    <w:name w:val="Body Text 2 Char"/>
    <w:basedOn w:val="132"/>
    <w:link w:val="28"/>
    <w:qFormat/>
    <w:uiPriority w:val="99"/>
  </w:style>
  <w:style w:type="character" w:customStyle="1" w:styleId="147">
    <w:name w:val="Quote Char"/>
    <w:basedOn w:val="132"/>
    <w:qFormat/>
    <w:uiPriority w:val="29"/>
    <w:rPr>
      <w:i/>
      <w:iCs/>
      <w:color w:val="000000" w:themeColor="text1"/>
      <w14:textFill>
        <w14:solidFill>
          <w14:schemeClr w14:val="tx1"/>
        </w14:solidFill>
      </w14:textFill>
    </w:rPr>
  </w:style>
  <w:style w:type="paragraph" w:styleId="148">
    <w:name w:val="Quote"/>
    <w:basedOn w:val="1"/>
    <w:next w:val="1"/>
    <w:link w:val="174"/>
    <w:qFormat/>
    <w:uiPriority w:val="29"/>
    <w:rPr>
      <w:i/>
      <w:iCs/>
      <w:color w:val="000000" w:themeColor="text1"/>
      <w14:textFill>
        <w14:solidFill>
          <w14:schemeClr w14:val="tx1"/>
        </w14:solidFill>
      </w14:textFill>
    </w:rPr>
  </w:style>
  <w:style w:type="character" w:customStyle="1" w:styleId="149">
    <w:name w:val="Body Text 3 Char"/>
    <w:basedOn w:val="132"/>
    <w:link w:val="17"/>
    <w:qFormat/>
    <w:uiPriority w:val="99"/>
    <w:rPr>
      <w:sz w:val="16"/>
      <w:szCs w:val="16"/>
    </w:rPr>
  </w:style>
  <w:style w:type="character" w:customStyle="1" w:styleId="150">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51">
    <w:name w:val="Intense Emphasis"/>
    <w:basedOn w:val="132"/>
    <w:qFormat/>
    <w:uiPriority w:val="21"/>
    <w:rPr>
      <w:b/>
      <w:bCs/>
      <w:i/>
      <w:iCs/>
      <w:color w:val="4F81BD" w:themeColor="accent1"/>
      <w14:textFill>
        <w14:solidFill>
          <w14:schemeClr w14:val="accent1"/>
        </w14:solidFill>
      </w14:textFill>
    </w:rPr>
  </w:style>
  <w:style w:type="character" w:customStyle="1" w:styleId="152">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3">
    <w:name w:val="Subtle Reference"/>
    <w:basedOn w:val="132"/>
    <w:qFormat/>
    <w:uiPriority w:val="31"/>
    <w:rPr>
      <w:smallCaps/>
      <w:color w:val="C0504D" w:themeColor="accent2"/>
      <w:u w:val="single"/>
      <w14:textFill>
        <w14:solidFill>
          <w14:schemeClr w14:val="accent2"/>
        </w14:solidFill>
      </w14:textFill>
    </w:rPr>
  </w:style>
  <w:style w:type="character" w:customStyle="1" w:styleId="154">
    <w:name w:val="Footer Char"/>
    <w:basedOn w:val="132"/>
    <w:link w:val="24"/>
    <w:qFormat/>
    <w:uiPriority w:val="99"/>
  </w:style>
  <w:style w:type="character" w:customStyle="1" w:styleId="155">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Book Title"/>
    <w:basedOn w:val="132"/>
    <w:qFormat/>
    <w:uiPriority w:val="33"/>
    <w:rPr>
      <w:b/>
      <w:bCs/>
      <w:smallCaps/>
      <w:spacing w:val="5"/>
    </w:rPr>
  </w:style>
  <w:style w:type="paragraph" w:styleId="15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5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60">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paragraph" w:customStyle="1" w:styleId="161">
    <w:name w:val="TOC Heading"/>
    <w:basedOn w:val="3"/>
    <w:next w:val="1"/>
    <w:semiHidden/>
    <w:unhideWhenUsed/>
    <w:qFormat/>
    <w:uiPriority w:val="39"/>
    <w:pPr>
      <w:outlineLvl w:val="9"/>
    </w:pPr>
  </w:style>
  <w:style w:type="character" w:customStyle="1" w:styleId="16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63">
    <w:name w:val="List Paragraph"/>
    <w:basedOn w:val="1"/>
    <w:qFormat/>
    <w:uiPriority w:val="34"/>
    <w:pPr>
      <w:ind w:left="720"/>
      <w:contextualSpacing/>
    </w:pPr>
  </w:style>
  <w:style w:type="character" w:customStyle="1" w:styleId="164">
    <w:name w:val="Title Char1"/>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65">
    <w:name w:val="Heading 9 Char1"/>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166">
    <w:name w:val="Subtitle Char1"/>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167">
    <w:name w:val="Subtle Emphasis1"/>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8">
    <w:name w:val="Intense Reference1"/>
    <w:basedOn w:val="132"/>
    <w:qFormat/>
    <w:uiPriority w:val="32"/>
    <w:rPr>
      <w:b/>
      <w:bCs/>
      <w:smallCaps/>
      <w:color w:val="C0504D" w:themeColor="accent2"/>
      <w:spacing w:val="5"/>
      <w:u w:val="single"/>
      <w14:textFill>
        <w14:solidFill>
          <w14:schemeClr w14:val="accent2"/>
        </w14:solidFill>
      </w14:textFill>
    </w:rPr>
  </w:style>
  <w:style w:type="paragraph" w:customStyle="1" w:styleId="169">
    <w:name w:val="TOC Heading1"/>
    <w:basedOn w:val="3"/>
    <w:next w:val="1"/>
    <w:semiHidden/>
    <w:unhideWhenUsed/>
    <w:qFormat/>
    <w:uiPriority w:val="39"/>
    <w:pPr>
      <w:outlineLvl w:val="9"/>
    </w:pPr>
  </w:style>
  <w:style w:type="character" w:customStyle="1" w:styleId="170">
    <w:name w:val="Heading 5 Char1"/>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71">
    <w:name w:val="Heading 4 Char1"/>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72">
    <w:name w:val="Heading 3 Char1"/>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73">
    <w:name w:val="Intense Emphasis1"/>
    <w:basedOn w:val="132"/>
    <w:qFormat/>
    <w:uiPriority w:val="21"/>
    <w:rPr>
      <w:b/>
      <w:bCs/>
      <w:i/>
      <w:iCs/>
      <w:color w:val="4F81BD" w:themeColor="accent1"/>
      <w14:textFill>
        <w14:solidFill>
          <w14:schemeClr w14:val="accent1"/>
        </w14:solidFill>
      </w14:textFill>
    </w:rPr>
  </w:style>
  <w:style w:type="character" w:customStyle="1" w:styleId="174">
    <w:name w:val="Quote Char1"/>
    <w:basedOn w:val="132"/>
    <w:link w:val="148"/>
    <w:qFormat/>
    <w:uiPriority w:val="29"/>
    <w:rPr>
      <w:i/>
      <w:iCs/>
      <w:color w:val="000000" w:themeColor="text1"/>
      <w14:textFill>
        <w14:solidFill>
          <w14:schemeClr w14:val="tx1"/>
        </w14:solidFill>
      </w14:textFill>
    </w:rPr>
  </w:style>
  <w:style w:type="character" w:customStyle="1" w:styleId="175">
    <w:name w:val="Macro Text Char1"/>
    <w:basedOn w:val="132"/>
    <w:link w:val="2"/>
    <w:qFormat/>
    <w:uiPriority w:val="99"/>
    <w:rPr>
      <w:rFonts w:ascii="Courier" w:hAnsi="Courier"/>
      <w:sz w:val="20"/>
      <w:szCs w:val="20"/>
    </w:rPr>
  </w:style>
  <w:style w:type="character" w:customStyle="1" w:styleId="176">
    <w:name w:val="Body Text 2 Char1"/>
    <w:basedOn w:val="132"/>
    <w:link w:val="28"/>
    <w:qFormat/>
    <w:uiPriority w:val="99"/>
  </w:style>
  <w:style w:type="character" w:customStyle="1" w:styleId="177">
    <w:name w:val="Intense Quote Char1"/>
    <w:basedOn w:val="132"/>
    <w:link w:val="136"/>
    <w:qFormat/>
    <w:uiPriority w:val="30"/>
    <w:rPr>
      <w:b/>
      <w:bCs/>
      <w:i/>
      <w:iCs/>
      <w:color w:val="4F81BD" w:themeColor="accent1"/>
      <w14:textFill>
        <w14:solidFill>
          <w14:schemeClr w14:val="accent1"/>
        </w14:solidFill>
      </w14:textFill>
    </w:rPr>
  </w:style>
  <w:style w:type="character" w:customStyle="1" w:styleId="178">
    <w:name w:val="Heading 1 Char1"/>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79">
    <w:name w:val="Body Text 3 Char1"/>
    <w:basedOn w:val="132"/>
    <w:link w:val="17"/>
    <w:qFormat/>
    <w:uiPriority w:val="99"/>
    <w:rPr>
      <w:sz w:val="16"/>
      <w:szCs w:val="16"/>
    </w:rPr>
  </w:style>
  <w:style w:type="character" w:customStyle="1" w:styleId="180">
    <w:name w:val="Heading 8 Char1"/>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81">
    <w:name w:val="Heading 7 Char1"/>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82">
    <w:name w:val="Book Title1"/>
    <w:basedOn w:val="132"/>
    <w:qFormat/>
    <w:uiPriority w:val="33"/>
    <w:rPr>
      <w:b/>
      <w:bCs/>
      <w:smallCaps/>
      <w:spacing w:val="5"/>
    </w:rPr>
  </w:style>
  <w:style w:type="character" w:customStyle="1" w:styleId="183">
    <w:name w:val="Subtle Reference1"/>
    <w:basedOn w:val="132"/>
    <w:qFormat/>
    <w:uiPriority w:val="31"/>
    <w:rPr>
      <w:smallCaps/>
      <w:color w:val="C0504D" w:themeColor="accent2"/>
      <w:u w:val="single"/>
      <w14:textFill>
        <w14:solidFill>
          <w14:schemeClr w14:val="accent2"/>
        </w14:solidFill>
      </w14:textFill>
    </w:rPr>
  </w:style>
  <w:style w:type="character" w:customStyle="1" w:styleId="184">
    <w:name w:val="Body Text Char1"/>
    <w:basedOn w:val="132"/>
    <w:link w:val="19"/>
    <w:qFormat/>
    <w:uiPriority w:val="99"/>
  </w:style>
  <w:style w:type="character" w:customStyle="1" w:styleId="185">
    <w:name w:val="Heading 6 Char1"/>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86">
    <w:name w:val="Heading 2 Char1"/>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12</Pages>
  <Words>768</Words>
  <Characters>796</Characters>
  <TotalTime>0</TotalTime>
  <ScaleCrop>false</ScaleCrop>
  <LinksUpToDate>false</LinksUpToDate>
  <CharactersWithSpaces>803</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2026-08-19T14:52:00Z</dcterms:created>
  <dc:creator>张立缘</dc:creator>
  <cp:lastModifiedBy>娟子</cp:lastModifiedBy>
  <dcterms:modified xsi:type="dcterms:W3CDTF">2026-10-15T04:04:50Z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eyJoZGlkIjoiMjZkMjIyNGU3N2U2YTYwZjRlM2JkM2NkZTVlZmZlMjkiLCJ1c2VySWQiOiIzNzA5NTM0ODkifQ==</vt:lpwstr>
  </property>
  <property fmtid="{D5CDD505-2E9C-101B-9397-08002B2CF9AE}" pid="3" name="KSOProductBuildVer">
    <vt:lpwstr>2052-12.1.0.29161</vt:lpwstr>
  </property>
  <property fmtid="{D5CDD505-2E9C-101B-9397-08002B2CF9AE}" pid="4" name="ICV">
    <vt:lpwstr>0D630F444F2347C59D48B31FAA3363B9_12</vt:lpwstr>
  </property>
</Properties>
</file>